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BB70" w14:textId="77777777" w:rsidR="004F2D51" w:rsidRPr="00BF3409" w:rsidRDefault="00F54BE0" w:rsidP="00BF3409">
      <w:pPr>
        <w:pStyle w:val="Title"/>
      </w:pPr>
      <w:r w:rsidRPr="00BF3409">
        <w:t>Digital</w:t>
      </w:r>
      <w:r w:rsidR="00E64AB6" w:rsidRPr="00BF3409">
        <w:t xml:space="preserve"> Accessibility</w:t>
      </w:r>
      <w:r w:rsidR="00FD1754" w:rsidRPr="00BF3409">
        <w:t xml:space="preserve"> – Developments in 2018</w:t>
      </w:r>
    </w:p>
    <w:p w14:paraId="21509FB1" w14:textId="77777777" w:rsidR="006909C5" w:rsidRDefault="00F54BE0" w:rsidP="006C6A07">
      <w:pPr>
        <w:jc w:val="center"/>
      </w:pPr>
      <w:r>
        <w:t>by</w:t>
      </w:r>
    </w:p>
    <w:p w14:paraId="2D0B0146" w14:textId="77777777" w:rsidR="006909C5" w:rsidRDefault="006909C5" w:rsidP="004A4BE4"/>
    <w:p w14:paraId="1A3CA835" w14:textId="77777777" w:rsidR="006909C5" w:rsidRDefault="00F54BE0" w:rsidP="006C6A07">
      <w:pPr>
        <w:jc w:val="center"/>
      </w:pPr>
      <w:r>
        <w:t xml:space="preserve">Teresa </w:t>
      </w:r>
      <w:r w:rsidR="006C6A07">
        <w:t xml:space="preserve">L </w:t>
      </w:r>
      <w:r>
        <w:t>Jakubowski</w:t>
      </w:r>
    </w:p>
    <w:p w14:paraId="240DC190" w14:textId="77777777" w:rsidR="006C6A07" w:rsidRDefault="00F54BE0" w:rsidP="006C6A07">
      <w:pPr>
        <w:jc w:val="center"/>
      </w:pPr>
      <w:r>
        <w:t>Barnes &amp; Thornburg LLP</w:t>
      </w:r>
    </w:p>
    <w:p w14:paraId="3EC76FA7" w14:textId="77777777" w:rsidR="006909C5" w:rsidRDefault="006909C5" w:rsidP="004A4BE4"/>
    <w:p w14:paraId="0413384E" w14:textId="73018BBA" w:rsidR="006909C5" w:rsidRDefault="00F54BE0" w:rsidP="00B837E8">
      <w:pPr>
        <w:pStyle w:val="BodyTextFirstIndent"/>
        <w:jc w:val="left"/>
      </w:pPr>
      <w:bookmarkStart w:id="0" w:name="_GoBack"/>
      <w:bookmarkEnd w:id="0"/>
      <w:r>
        <w:t>2018</w:t>
      </w:r>
      <w:r w:rsidR="00903221">
        <w:t xml:space="preserve"> brought </w:t>
      </w:r>
      <w:proofErr w:type="gramStart"/>
      <w:r w:rsidR="00903221">
        <w:t>a number of</w:t>
      </w:r>
      <w:proofErr w:type="gramEnd"/>
      <w:r w:rsidR="00903221">
        <w:t xml:space="preserve"> developments in the area of digital accessibility, including</w:t>
      </w:r>
      <w:r w:rsidR="00C4012E">
        <w:t xml:space="preserve"> increasing litigation, demand letters, and</w:t>
      </w:r>
      <w:r w:rsidR="00903221">
        <w:t xml:space="preserve"> the release of the Web Co</w:t>
      </w:r>
      <w:r w:rsidR="006C6A07">
        <w:t>nte</w:t>
      </w:r>
      <w:r w:rsidR="00903221">
        <w:t>n</w:t>
      </w:r>
      <w:r w:rsidR="006C6A07">
        <w:t>t</w:t>
      </w:r>
      <w:r w:rsidR="00903221">
        <w:t xml:space="preserve"> Accessibility Guidelines 2.1</w:t>
      </w:r>
      <w:r w:rsidR="006C6A07">
        <w:t xml:space="preserve"> (WCAG 2.1)</w:t>
      </w:r>
      <w:r w:rsidR="00CD1C08">
        <w:t xml:space="preserve">, the World Wide Web Consortium’s </w:t>
      </w:r>
      <w:r w:rsidR="00C4012E">
        <w:t xml:space="preserve">(W3C) </w:t>
      </w:r>
      <w:r w:rsidR="00CD1C08">
        <w:t xml:space="preserve">first revision of WCAG since </w:t>
      </w:r>
      <w:r w:rsidR="00FD1754">
        <w:t>its</w:t>
      </w:r>
      <w:r w:rsidR="00CD1C08">
        <w:t xml:space="preserve"> release of WCAG 2.0 in December 2008.  </w:t>
      </w:r>
      <w:r w:rsidR="00FD1754">
        <w:t>This</w:t>
      </w:r>
      <w:r w:rsidR="00C4012E">
        <w:t xml:space="preserve"> year also brought some – albeit limited – </w:t>
      </w:r>
      <w:r w:rsidR="00FD1754">
        <w:t xml:space="preserve">insight on the views of </w:t>
      </w:r>
      <w:r w:rsidR="00C4012E">
        <w:t xml:space="preserve">the U.S. Department of Justice </w:t>
      </w:r>
      <w:r w:rsidR="00CD7C7B">
        <w:t>(DOJ)</w:t>
      </w:r>
      <w:r w:rsidR="004A1D09">
        <w:t xml:space="preserve">, which enforces both Titles II and III of the </w:t>
      </w:r>
      <w:r w:rsidR="00FD1754">
        <w:t>Americans with Disabilities Act (</w:t>
      </w:r>
      <w:r w:rsidR="002F3B37">
        <w:t>ADA</w:t>
      </w:r>
      <w:r w:rsidR="00FD1754">
        <w:t>)</w:t>
      </w:r>
      <w:r w:rsidR="002F3B37">
        <w:t>,</w:t>
      </w:r>
      <w:r w:rsidR="00CD7C7B">
        <w:t xml:space="preserve"> </w:t>
      </w:r>
      <w:r w:rsidR="00C4012E">
        <w:t>and the U.S. D</w:t>
      </w:r>
      <w:r w:rsidR="00731F97">
        <w:t>epar</w:t>
      </w:r>
      <w:r w:rsidR="00C4012E">
        <w:t>t</w:t>
      </w:r>
      <w:r w:rsidR="00731F97">
        <w:t>m</w:t>
      </w:r>
      <w:r w:rsidR="00C4012E">
        <w:t>ent of Education</w:t>
      </w:r>
      <w:r w:rsidR="00FD1754">
        <w:t xml:space="preserve">’s Office </w:t>
      </w:r>
      <w:r w:rsidR="00B70433">
        <w:t>f</w:t>
      </w:r>
      <w:r w:rsidR="00FD1754">
        <w:t>or Civil Rights (OCR), which is a des</w:t>
      </w:r>
      <w:r w:rsidR="002F3B37">
        <w:t>i</w:t>
      </w:r>
      <w:r w:rsidR="00FD1754">
        <w:t>g</w:t>
      </w:r>
      <w:r w:rsidR="002F3B37">
        <w:t xml:space="preserve">nated </w:t>
      </w:r>
      <w:r w:rsidR="006A0A23">
        <w:t>investigative</w:t>
      </w:r>
      <w:r w:rsidR="002F3B37">
        <w:t xml:space="preserve"> agency under Title II of the ADA and enforces Section 504 </w:t>
      </w:r>
      <w:r w:rsidR="002A15D3">
        <w:t xml:space="preserve">of the Rehabilitation Act </w:t>
      </w:r>
      <w:r w:rsidR="002F3B37">
        <w:t>as appli</w:t>
      </w:r>
      <w:r w:rsidR="00FD1754">
        <w:t>ed to educational institutions.</w:t>
      </w:r>
      <w:r w:rsidR="00731F97">
        <w:t xml:space="preserve"> </w:t>
      </w:r>
      <w:r w:rsidR="00CD7C7B">
        <w:t xml:space="preserve"> </w:t>
      </w:r>
      <w:r w:rsidR="00FD1754">
        <w:t xml:space="preserve">This article provides </w:t>
      </w:r>
      <w:r w:rsidR="007D77E8">
        <w:t xml:space="preserve">an overview </w:t>
      </w:r>
      <w:r w:rsidR="004F78C1">
        <w:t xml:space="preserve">of </w:t>
      </w:r>
      <w:r w:rsidR="007D77E8">
        <w:t>the more significant developments that have occurred in 2018, as well as recommendations for navigating th</w:t>
      </w:r>
      <w:r w:rsidR="00B846B7">
        <w:t xml:space="preserve">is </w:t>
      </w:r>
      <w:r w:rsidR="006A0A23">
        <w:t>evolving</w:t>
      </w:r>
      <w:r w:rsidR="007D77E8">
        <w:t xml:space="preserve"> area of the law. </w:t>
      </w:r>
      <w:r w:rsidR="00731F97">
        <w:t xml:space="preserve">  </w:t>
      </w:r>
    </w:p>
    <w:p w14:paraId="7063CB9E" w14:textId="77777777" w:rsidR="003F0D3D" w:rsidRDefault="00F54BE0" w:rsidP="003F0D3D">
      <w:pPr>
        <w:pStyle w:val="Heading1"/>
        <w:spacing w:before="240" w:after="240"/>
        <w:contextualSpacing w:val="0"/>
      </w:pPr>
      <w:r>
        <w:t>The Agencies</w:t>
      </w:r>
    </w:p>
    <w:p w14:paraId="3F8770F2" w14:textId="77777777" w:rsidR="00103F2D" w:rsidRDefault="00F54BE0" w:rsidP="0071605E">
      <w:pPr>
        <w:pStyle w:val="Heading2"/>
        <w:ind w:left="720"/>
      </w:pPr>
      <w:r>
        <w:t>U.S. Department of Justice, Civil Rights Division</w:t>
      </w:r>
    </w:p>
    <w:p w14:paraId="4A04DA31" w14:textId="77777777" w:rsidR="00A31831" w:rsidRDefault="00A31831" w:rsidP="00103F2D"/>
    <w:p w14:paraId="37336151" w14:textId="77777777" w:rsidR="00A846C7" w:rsidRDefault="00F54BE0" w:rsidP="00B837E8">
      <w:pPr>
        <w:pStyle w:val="BodyTextFirstIndent"/>
        <w:jc w:val="left"/>
      </w:pPr>
      <w:r>
        <w:t xml:space="preserve">2018 commenced with </w:t>
      </w:r>
      <w:r w:rsidR="006A0A23">
        <w:t xml:space="preserve">the </w:t>
      </w:r>
      <w:r>
        <w:t xml:space="preserve">DOJ </w:t>
      </w:r>
      <w:r w:rsidR="009947C3">
        <w:t>formally withdrawing</w:t>
      </w:r>
      <w:r>
        <w:t xml:space="preserve"> its long-awaited rulemakings to address website accessibility</w:t>
      </w:r>
      <w:r w:rsidR="009947C3">
        <w:t xml:space="preserve"> under the </w:t>
      </w:r>
      <w:r w:rsidR="006A0A23">
        <w:t>ADA</w:t>
      </w:r>
      <w:r>
        <w:t xml:space="preserve">.  </w:t>
      </w:r>
      <w:r w:rsidR="005821E3">
        <w:t xml:space="preserve">In </w:t>
      </w:r>
      <w:r>
        <w:t xml:space="preserve">July </w:t>
      </w:r>
      <w:r w:rsidR="005821E3">
        <w:t>2010</w:t>
      </w:r>
      <w:r>
        <w:t>, coincident with the 20</w:t>
      </w:r>
      <w:r w:rsidRPr="00842CC2">
        <w:rPr>
          <w:vertAlign w:val="superscript"/>
        </w:rPr>
        <w:t>th</w:t>
      </w:r>
      <w:r>
        <w:t xml:space="preserve"> anniversary of the</w:t>
      </w:r>
      <w:r w:rsidR="009947C3">
        <w:t xml:space="preserve"> ADA</w:t>
      </w:r>
      <w:r w:rsidR="00D0665A">
        <w:t>,</w:t>
      </w:r>
      <w:r w:rsidR="003F0D3D">
        <w:t xml:space="preserve"> DOJ had announced its intent to issue regulations specifically addressing an entity’s obligations with respect to websites un</w:t>
      </w:r>
      <w:r w:rsidR="00D0665A">
        <w:t>der</w:t>
      </w:r>
      <w:r w:rsidR="009947C3">
        <w:t xml:space="preserve"> Titles II and II of the ADA.  </w:t>
      </w:r>
      <w:r w:rsidR="00B837E8" w:rsidRPr="00B837E8">
        <w:rPr>
          <w:i/>
        </w:rPr>
        <w:t>See</w:t>
      </w:r>
      <w:r w:rsidR="00B837E8">
        <w:t xml:space="preserve"> 75 Fed. Reg. 43,460 (July 26, 2010).  </w:t>
      </w:r>
      <w:r w:rsidR="009947C3" w:rsidRPr="00B837E8">
        <w:t>O</w:t>
      </w:r>
      <w:r w:rsidR="00D0665A" w:rsidRPr="00B837E8">
        <w:t>n</w:t>
      </w:r>
      <w:r w:rsidR="00D0665A">
        <w:t xml:space="preserve"> D</w:t>
      </w:r>
      <w:r w:rsidR="00344746">
        <w:t>ecembe</w:t>
      </w:r>
      <w:r w:rsidR="00D0665A">
        <w:t xml:space="preserve">r </w:t>
      </w:r>
      <w:r w:rsidR="009947C3">
        <w:t xml:space="preserve">26, </w:t>
      </w:r>
      <w:r w:rsidR="00D0665A">
        <w:t>2017, however,</w:t>
      </w:r>
      <w:r w:rsidR="003F0D3D">
        <w:t xml:space="preserve"> DOJ withdrew its previously issued Advance Notice</w:t>
      </w:r>
      <w:r w:rsidR="009947C3">
        <w:t>s</w:t>
      </w:r>
      <w:r w:rsidR="003F0D3D">
        <w:t xml:space="preserve"> and Supplemental Advance Notice of Proposed Rulemaking</w:t>
      </w:r>
      <w:r w:rsidR="009947C3">
        <w:t>, after having designated them as “inactive” in July 2017</w:t>
      </w:r>
      <w:r w:rsidR="003F0D3D">
        <w:t xml:space="preserve">.  </w:t>
      </w:r>
      <w:r w:rsidR="00B837E8">
        <w:rPr>
          <w:i/>
        </w:rPr>
        <w:t xml:space="preserve">See </w:t>
      </w:r>
      <w:r w:rsidR="00031403">
        <w:t>82 Fed. Reg. 60</w:t>
      </w:r>
      <w:r w:rsidR="006A263B">
        <w:t>,</w:t>
      </w:r>
      <w:r w:rsidR="00031403">
        <w:t>932 (Dec. 26, 2017).  In its Notice of Withdrawa</w:t>
      </w:r>
      <w:r w:rsidR="00F93775">
        <w:t>l, DOJ</w:t>
      </w:r>
      <w:r w:rsidR="003429D3">
        <w:t xml:space="preserve"> indicated that it was evaluati</w:t>
      </w:r>
      <w:r w:rsidR="00F93775">
        <w:t>n</w:t>
      </w:r>
      <w:r w:rsidR="003429D3">
        <w:t>g</w:t>
      </w:r>
      <w:r w:rsidR="006A263B">
        <w:t xml:space="preserve"> whether promulgating specific W</w:t>
      </w:r>
      <w:r w:rsidR="00F93775">
        <w:t>eb accessibility standards through regulations is necessary and ap</w:t>
      </w:r>
      <w:r w:rsidR="006A263B">
        <w:t xml:space="preserve">propriate to ensure compliance with the ADA.  </w:t>
      </w:r>
      <w:r w:rsidR="006A263B">
        <w:rPr>
          <w:i/>
        </w:rPr>
        <w:t>Id.</w:t>
      </w:r>
      <w:r w:rsidR="00F93775">
        <w:t xml:space="preserve">  </w:t>
      </w:r>
      <w:r w:rsidR="003F0D3D">
        <w:t xml:space="preserve">DOJ’s most recent regulatory agenda </w:t>
      </w:r>
      <w:r w:rsidR="009947C3">
        <w:t xml:space="preserve">issued on October </w:t>
      </w:r>
      <w:r w:rsidR="00335DE2">
        <w:t>17, 2018</w:t>
      </w:r>
      <w:r w:rsidR="00E0309A">
        <w:t>,</w:t>
      </w:r>
      <w:r w:rsidR="00335DE2">
        <w:t xml:space="preserve"> </w:t>
      </w:r>
      <w:r w:rsidR="003F0D3D">
        <w:t>does not indicate any inten</w:t>
      </w:r>
      <w:r w:rsidR="002E5FD0">
        <w:t xml:space="preserve">t to promulgate regulations </w:t>
      </w:r>
      <w:r w:rsidR="00E74C8B">
        <w:t>regardi</w:t>
      </w:r>
      <w:r w:rsidR="002E5FD0">
        <w:t>n</w:t>
      </w:r>
      <w:r w:rsidR="00E74C8B">
        <w:t>g</w:t>
      </w:r>
      <w:r w:rsidR="002E5FD0">
        <w:t xml:space="preserve"> w</w:t>
      </w:r>
      <w:r>
        <w:t>ebsite or digital accessibility</w:t>
      </w:r>
      <w:r w:rsidR="003F0D3D">
        <w:t>.</w:t>
      </w:r>
    </w:p>
    <w:p w14:paraId="49294042" w14:textId="558938B4" w:rsidR="001967D9" w:rsidRDefault="00F54BE0" w:rsidP="00B837E8">
      <w:pPr>
        <w:pStyle w:val="BodyTextFirstIndent"/>
        <w:jc w:val="left"/>
      </w:pPr>
      <w:r>
        <w:t>The withdrawal of these rulemakings</w:t>
      </w:r>
      <w:r w:rsidR="00FD10E2">
        <w:t xml:space="preserve"> and the increasing incidence of litigation and</w:t>
      </w:r>
      <w:r>
        <w:t xml:space="preserve"> </w:t>
      </w:r>
      <w:r w:rsidR="00FD10E2">
        <w:t xml:space="preserve">demand letters from </w:t>
      </w:r>
      <w:r w:rsidR="002A15D3">
        <w:t>potential</w:t>
      </w:r>
      <w:r w:rsidR="00FD10E2">
        <w:t xml:space="preserve"> litigants prompted U.S. Representative Ted Budd (R-NC), joined by more than 100 members of Congress, to urge DOJ to address the situation.</w:t>
      </w:r>
      <w:r>
        <w:t xml:space="preserve"> </w:t>
      </w:r>
      <w:r w:rsidR="00680012">
        <w:t xml:space="preserve">In its </w:t>
      </w:r>
      <w:r w:rsidR="00E20009" w:rsidRPr="009479F6">
        <w:t xml:space="preserve">response </w:t>
      </w:r>
      <w:r w:rsidR="00680012" w:rsidRPr="009479F6">
        <w:t>letter</w:t>
      </w:r>
      <w:r w:rsidR="00680012">
        <w:t xml:space="preserve"> </w:t>
      </w:r>
      <w:r w:rsidR="00F93775">
        <w:t>dated Sep</w:t>
      </w:r>
      <w:r w:rsidR="00680012">
        <w:t xml:space="preserve">tember 25, 2018, DOJ set forth its current views on </w:t>
      </w:r>
      <w:r w:rsidR="009629B6">
        <w:t xml:space="preserve">the issue of website accessibility.  DOJ reiterated its position that </w:t>
      </w:r>
      <w:r w:rsidR="00364CD6">
        <w:t xml:space="preserve">the ADA applies </w:t>
      </w:r>
      <w:r w:rsidR="009629B6">
        <w:t>t</w:t>
      </w:r>
      <w:r w:rsidR="00364CD6">
        <w:t>o</w:t>
      </w:r>
      <w:r w:rsidR="009629B6">
        <w:t xml:space="preserve"> public accommodations’ websites, which it first artic</w:t>
      </w:r>
      <w:r w:rsidR="00364CD6">
        <w:t>ula</w:t>
      </w:r>
      <w:r w:rsidR="009629B6">
        <w:t>ted over 20 years ago</w:t>
      </w:r>
      <w:r w:rsidR="008C238A">
        <w:t xml:space="preserve">, and that </w:t>
      </w:r>
      <w:r w:rsidR="002A15D3">
        <w:t xml:space="preserve">absence of </w:t>
      </w:r>
      <w:r w:rsidR="008C238A">
        <w:t>regulation</w:t>
      </w:r>
      <w:r w:rsidR="002A15D3">
        <w:t xml:space="preserve">s specifically addressing websites </w:t>
      </w:r>
      <w:r w:rsidR="008C238A">
        <w:t xml:space="preserve">does not provide a basis for noncompliance with the </w:t>
      </w:r>
      <w:r w:rsidR="002A15D3">
        <w:t>ADA’s</w:t>
      </w:r>
      <w:r w:rsidR="008C238A">
        <w:t xml:space="preserve"> requirements</w:t>
      </w:r>
      <w:r w:rsidR="009629B6">
        <w:t>.</w:t>
      </w:r>
      <w:r w:rsidR="00364CD6">
        <w:t xml:space="preserve">  </w:t>
      </w:r>
      <w:r w:rsidR="00B75B99">
        <w:t>By</w:t>
      </w:r>
      <w:r w:rsidR="00E81DE4">
        <w:t xml:space="preserve"> letter dated September 9, 1996, in response to an inquiry by U.S. Senator Tom Harkin (an original sponsor of the ADA), DOJ</w:t>
      </w:r>
      <w:r w:rsidR="002A15D3">
        <w:t xml:space="preserve"> had stated that “[c]</w:t>
      </w:r>
      <w:proofErr w:type="spellStart"/>
      <w:r w:rsidR="002A15D3">
        <w:t>overed</w:t>
      </w:r>
      <w:proofErr w:type="spellEnd"/>
      <w:r w:rsidR="002A15D3">
        <w:t xml:space="preserve"> ent</w:t>
      </w:r>
      <w:r w:rsidR="00E81DE4">
        <w:t>ities that use the Internet for communications reg</w:t>
      </w:r>
      <w:r w:rsidR="00A70825">
        <w:t>ardi</w:t>
      </w:r>
      <w:r w:rsidR="00E81DE4">
        <w:t>n</w:t>
      </w:r>
      <w:r w:rsidR="00A70825">
        <w:t>g</w:t>
      </w:r>
      <w:r w:rsidR="00E81DE4">
        <w:t xml:space="preserve"> their programs, goods, or services must be prepared to offer those communications through accessible means as well.</w:t>
      </w:r>
      <w:r w:rsidR="001B3201">
        <w:t>”</w:t>
      </w:r>
      <w:r w:rsidR="00E81DE4">
        <w:t xml:space="preserve">  At that time, DOJ noted that </w:t>
      </w:r>
      <w:r w:rsidR="001B3201">
        <w:t xml:space="preserve">a covered entity could </w:t>
      </w:r>
      <w:r w:rsidR="002A15D3">
        <w:t>sa</w:t>
      </w:r>
      <w:r w:rsidR="00A70825">
        <w:t>t</w:t>
      </w:r>
      <w:r w:rsidR="002A15D3">
        <w:t>i</w:t>
      </w:r>
      <w:r w:rsidR="00A70825">
        <w:t xml:space="preserve">sfy its obligations under the ADA either by </w:t>
      </w:r>
      <w:r w:rsidR="001B3201">
        <w:t>provi</w:t>
      </w:r>
      <w:r w:rsidR="00A70825">
        <w:t>ding</w:t>
      </w:r>
      <w:r w:rsidR="001B3201">
        <w:t xml:space="preserve"> full accessibility through the Internet directly, or alternatively </w:t>
      </w:r>
      <w:r w:rsidR="00A70825">
        <w:t xml:space="preserve">by </w:t>
      </w:r>
      <w:r w:rsidR="001B3201">
        <w:t>offer</w:t>
      </w:r>
      <w:r w:rsidR="00A70825">
        <w:t>ing</w:t>
      </w:r>
      <w:r w:rsidR="001B3201">
        <w:t xml:space="preserve"> </w:t>
      </w:r>
      <w:r w:rsidR="00A70825">
        <w:t>“</w:t>
      </w:r>
      <w:r w:rsidR="001B3201">
        <w:t xml:space="preserve">other alternate accessible formats, such as </w:t>
      </w:r>
      <w:r w:rsidR="001B3201">
        <w:lastRenderedPageBreak/>
        <w:t>Braille, l</w:t>
      </w:r>
      <w:r w:rsidR="0029673A">
        <w:t>arge print, and/or audio to pe</w:t>
      </w:r>
      <w:r w:rsidR="001B3201">
        <w:t>ople with visual impairments</w:t>
      </w:r>
      <w:r w:rsidR="0029673A">
        <w:t>,</w:t>
      </w:r>
      <w:r w:rsidR="001B3201">
        <w:t>”</w:t>
      </w:r>
      <w:r w:rsidR="00A70825">
        <w:t xml:space="preserve"> and noting</w:t>
      </w:r>
      <w:r w:rsidR="001B3201">
        <w:t xml:space="preserve"> the availability of such materials in text format on the web page, along with instructions for obtaining the materials in accessible format.  </w:t>
      </w:r>
    </w:p>
    <w:p w14:paraId="4E930A07" w14:textId="27633359" w:rsidR="00E03DF2" w:rsidRDefault="00F54BE0" w:rsidP="007B6D6E">
      <w:pPr>
        <w:pStyle w:val="BodyTextFirstIndent"/>
        <w:jc w:val="left"/>
      </w:pPr>
      <w:r>
        <w:t xml:space="preserve">DOJ’s position that </w:t>
      </w:r>
      <w:r w:rsidR="00A70825">
        <w:t>use of</w:t>
      </w:r>
      <w:r>
        <w:t xml:space="preserve"> altern</w:t>
      </w:r>
      <w:r w:rsidR="00A70825">
        <w:t xml:space="preserve">ative methods is an acceptable method of providing access to websites subsequently evolved, especially after issuance of WCAG 2.0.  </w:t>
      </w:r>
      <w:r w:rsidR="004E4A51">
        <w:t xml:space="preserve">WCAG 2.0 is a voluntary set of guidelines issued by </w:t>
      </w:r>
      <w:r w:rsidR="0029673A">
        <w:t>W3C’s Web Accessibility Initiative</w:t>
      </w:r>
      <w:r w:rsidR="004E4A51">
        <w:t xml:space="preserve">.  </w:t>
      </w:r>
      <w:r>
        <w:t xml:space="preserve">It sets forth </w:t>
      </w:r>
      <w:proofErr w:type="gramStart"/>
      <w:r>
        <w:t xml:space="preserve">a </w:t>
      </w:r>
      <w:r w:rsidR="009A51F3">
        <w:t>n</w:t>
      </w:r>
      <w:r w:rsidR="00BA21C4">
        <w:t>umber of</w:t>
      </w:r>
      <w:proofErr w:type="gramEnd"/>
      <w:r w:rsidR="00BA21C4">
        <w:t xml:space="preserve"> “success c</w:t>
      </w:r>
      <w:r>
        <w:t xml:space="preserve">riteria,” categorized into three different </w:t>
      </w:r>
      <w:r w:rsidR="00B70433">
        <w:t>l</w:t>
      </w:r>
      <w:r>
        <w:t>evels – A, AA and AAA.</w:t>
      </w:r>
      <w:r w:rsidR="007B6D6E">
        <w:t xml:space="preserve">  In June 2003, DOJ had issued technical assistance guidance regarding</w:t>
      </w:r>
      <w:r w:rsidR="00B70433">
        <w:t xml:space="preserve"> the</w:t>
      </w:r>
      <w:r w:rsidR="007B6D6E">
        <w:t xml:space="preserve"> accessibility of state and local government websites under Title II of the ADA and Section 504.  </w:t>
      </w:r>
      <w:r w:rsidR="007B6D6E">
        <w:rPr>
          <w:i/>
        </w:rPr>
        <w:t>See</w:t>
      </w:r>
      <w:r w:rsidR="007B6D6E">
        <w:t xml:space="preserve"> Accessibility of State and Local Government Websites to People with Disabilities (June 2003), </w:t>
      </w:r>
      <w:r w:rsidR="007B6D6E">
        <w:rPr>
          <w:i/>
        </w:rPr>
        <w:t xml:space="preserve">available at </w:t>
      </w:r>
      <w:hyperlink r:id="rId8" w:history="1">
        <w:r w:rsidR="007B6D6E" w:rsidRPr="004F0D84">
          <w:rPr>
            <w:rStyle w:val="Hyperlink"/>
          </w:rPr>
          <w:t>https://www.ada.gov/websites2.htm</w:t>
        </w:r>
      </w:hyperlink>
      <w:r w:rsidR="007B6D6E">
        <w:t xml:space="preserve">.  In this guidance, DOJ identified the first version of WCAG (issued in </w:t>
      </w:r>
      <w:r w:rsidR="00443905">
        <w:t xml:space="preserve">May </w:t>
      </w:r>
      <w:r w:rsidR="007B6D6E">
        <w:t xml:space="preserve">1999) and the standards issued under Section 508 of the Rehabilitation Act (Section 508) for federal government websites as resources for making websites accessible.  DOJ thereafter began incorporating website accessibility requirements into certain of its settlement agreements with entities subject to Title II of the ADA.  </w:t>
      </w:r>
      <w:r w:rsidR="007B6D6E">
        <w:rPr>
          <w:i/>
        </w:rPr>
        <w:t>See, e.g.,</w:t>
      </w:r>
      <w:r w:rsidR="007B6D6E">
        <w:t xml:space="preserve"> Settlement Agreement with Green Bay, Wisconsin, DJ #204-85-110, ¶¶ 44-45 (Aug. 5, 2004), </w:t>
      </w:r>
      <w:r w:rsidR="007B6D6E">
        <w:rPr>
          <w:i/>
        </w:rPr>
        <w:t>available at</w:t>
      </w:r>
      <w:r w:rsidR="007B6D6E">
        <w:t xml:space="preserve"> </w:t>
      </w:r>
      <w:hyperlink r:id="rId9" w:history="1">
        <w:r w:rsidR="007B6D6E" w:rsidRPr="004F0D84">
          <w:rPr>
            <w:rStyle w:val="Hyperlink"/>
          </w:rPr>
          <w:t>https://www.ada.gov/GreenBaySA.htm</w:t>
        </w:r>
      </w:hyperlink>
      <w:r w:rsidR="007B6D6E">
        <w:t xml:space="preserve">; Settlement Agreement with Frederick, Maryland, DJ #204-35-2345, ¶¶ 32-33 (Aug. 5, 2004), </w:t>
      </w:r>
      <w:r w:rsidR="007B6D6E">
        <w:rPr>
          <w:i/>
        </w:rPr>
        <w:t>available at</w:t>
      </w:r>
      <w:r w:rsidR="007B6D6E">
        <w:t xml:space="preserve"> </w:t>
      </w:r>
      <w:hyperlink r:id="rId10" w:history="1">
        <w:r w:rsidR="007B6D6E" w:rsidRPr="004F0D84">
          <w:rPr>
            <w:rStyle w:val="Hyperlink"/>
          </w:rPr>
          <w:t>https://www.ada.gov/fredericksa.htm</w:t>
        </w:r>
      </w:hyperlink>
      <w:r w:rsidR="007B6D6E">
        <w:t>.</w:t>
      </w:r>
    </w:p>
    <w:p w14:paraId="79F49784" w14:textId="5745D972" w:rsidR="007B6D6E" w:rsidRPr="00E735A6" w:rsidRDefault="00F54BE0" w:rsidP="00E735A6">
      <w:pPr>
        <w:pStyle w:val="BodyTextFirstIndent"/>
        <w:jc w:val="left"/>
        <w:rPr>
          <w:color w:val="0E0E0E"/>
        </w:rPr>
      </w:pPr>
      <w:r>
        <w:t xml:space="preserve">In July 2010, DOJ entered into its first settlement agreement under Title III of the ADA </w:t>
      </w:r>
      <w:r w:rsidR="0029673A">
        <w:t>requiring</w:t>
      </w:r>
      <w:r>
        <w:t xml:space="preserve"> that a public accommodation make certain accessibility modifications to its website</w:t>
      </w:r>
      <w:r w:rsidR="006876E8">
        <w:t>.</w:t>
      </w:r>
      <w:r w:rsidR="00427091">
        <w:t xml:space="preserve"> </w:t>
      </w:r>
      <w:r w:rsidR="0029673A">
        <w:rPr>
          <w:i/>
        </w:rPr>
        <w:t xml:space="preserve">See, e.g., </w:t>
      </w:r>
      <w:r w:rsidR="00B75B99" w:rsidRPr="00337809">
        <w:rPr>
          <w:i/>
        </w:rPr>
        <w:t>United States v. QuikTrip C</w:t>
      </w:r>
      <w:r w:rsidR="00337809">
        <w:rPr>
          <w:i/>
        </w:rPr>
        <w:t>orp.</w:t>
      </w:r>
      <w:r w:rsidR="00B75B99" w:rsidRPr="00337809">
        <w:rPr>
          <w:i/>
        </w:rPr>
        <w:t>,</w:t>
      </w:r>
      <w:r w:rsidR="00B75B99">
        <w:t xml:space="preserve"> No. 8:10cv262 (D. Neb.) (consent decree</w:t>
      </w:r>
      <w:r w:rsidR="009E0332">
        <w:t>, ¶</w:t>
      </w:r>
      <w:r w:rsidR="006876E8">
        <w:t xml:space="preserve"> </w:t>
      </w:r>
      <w:r w:rsidR="009E0332">
        <w:t>25</w:t>
      </w:r>
      <w:r w:rsidR="00B75B99">
        <w:t xml:space="preserve">), </w:t>
      </w:r>
      <w:r w:rsidR="00B75B99" w:rsidRPr="009E0332">
        <w:rPr>
          <w:i/>
        </w:rPr>
        <w:t>available at</w:t>
      </w:r>
      <w:r w:rsidR="00B75B99">
        <w:t xml:space="preserve"> </w:t>
      </w:r>
      <w:hyperlink r:id="rId11" w:history="1">
        <w:r w:rsidR="00651E94" w:rsidRPr="004F0D84">
          <w:rPr>
            <w:rStyle w:val="Hyperlink"/>
          </w:rPr>
          <w:t>https://www.ada.gov/quiktrip_consent.htm</w:t>
        </w:r>
      </w:hyperlink>
      <w:r w:rsidR="006876E8">
        <w:t>.  It thereafter entered into several settlement agreements requiring that websites, mobile sites and mobile apps be conformed to WCAG 2.0 AA (</w:t>
      </w:r>
      <w:r w:rsidR="006876E8">
        <w:rPr>
          <w:i/>
        </w:rPr>
        <w:t xml:space="preserve">i.e., </w:t>
      </w:r>
      <w:r w:rsidR="006876E8">
        <w:t xml:space="preserve">comply with WCAG 2.0’s Level A and AA Success Criteria).  </w:t>
      </w:r>
      <w:r w:rsidR="00B6241A">
        <w:t xml:space="preserve">Settlement Agreement </w:t>
      </w:r>
      <w:r w:rsidR="00C15F4E">
        <w:t>with</w:t>
      </w:r>
      <w:r w:rsidR="00B6241A">
        <w:t xml:space="preserve"> Ahold U.S.A. Inc., and Peapod LLC, </w:t>
      </w:r>
      <w:r w:rsidR="00C15F4E">
        <w:t>DJ #202-63-169 (</w:t>
      </w:r>
      <w:r w:rsidR="00B6241A">
        <w:t>Nov. 17, 2014</w:t>
      </w:r>
      <w:r w:rsidR="00C15F4E">
        <w:t>)</w:t>
      </w:r>
      <w:r w:rsidR="00B6241A">
        <w:t xml:space="preserve">, </w:t>
      </w:r>
      <w:r w:rsidR="00B6241A">
        <w:rPr>
          <w:i/>
        </w:rPr>
        <w:t xml:space="preserve">available </w:t>
      </w:r>
      <w:r w:rsidR="00B6241A" w:rsidRPr="00C178CF">
        <w:rPr>
          <w:i/>
        </w:rPr>
        <w:t>at</w:t>
      </w:r>
      <w:r w:rsidR="00B6241A">
        <w:t xml:space="preserve"> </w:t>
      </w:r>
      <w:hyperlink r:id="rId12" w:history="1">
        <w:r w:rsidR="00B6241A" w:rsidRPr="004F0D84">
          <w:rPr>
            <w:rStyle w:val="Hyperlink"/>
          </w:rPr>
          <w:t>https://www.ada.gov/peapod_sa.htm</w:t>
        </w:r>
      </w:hyperlink>
      <w:r w:rsidR="00B6241A">
        <w:t>;</w:t>
      </w:r>
      <w:r w:rsidR="00B6241A" w:rsidRPr="00734DD6">
        <w:t xml:space="preserve"> </w:t>
      </w:r>
      <w:r w:rsidR="00B6241A" w:rsidRPr="00B6241A">
        <w:rPr>
          <w:i/>
        </w:rPr>
        <w:t>National Federation of the Blind and the United States v. HRB Digital LLC and HRB Tax Group LLC (H&amp;R Block)</w:t>
      </w:r>
      <w:r w:rsidR="00B6241A">
        <w:t>, No. 1:13-cv-10799-GAO</w:t>
      </w:r>
      <w:r w:rsidR="00A71791">
        <w:t xml:space="preserve"> (consent decree </w:t>
      </w:r>
      <w:r w:rsidR="00B6241A">
        <w:t>dated Mar. 31, 2014</w:t>
      </w:r>
      <w:r w:rsidR="00A71791">
        <w:t>)</w:t>
      </w:r>
      <w:r w:rsidR="00B6241A">
        <w:t xml:space="preserve">, </w:t>
      </w:r>
      <w:r w:rsidR="00B6241A">
        <w:rPr>
          <w:i/>
        </w:rPr>
        <w:t xml:space="preserve">available </w:t>
      </w:r>
      <w:r w:rsidR="00B6241A" w:rsidRPr="00C178CF">
        <w:rPr>
          <w:i/>
        </w:rPr>
        <w:t>at</w:t>
      </w:r>
      <w:r w:rsidR="00B6241A">
        <w:t xml:space="preserve"> </w:t>
      </w:r>
      <w:hyperlink r:id="rId13" w:history="1">
        <w:r w:rsidR="00B6241A" w:rsidRPr="004F0D84">
          <w:rPr>
            <w:rStyle w:val="Hyperlink"/>
          </w:rPr>
          <w:t>https://www.ada.gov/hrb-cd.htm</w:t>
        </w:r>
      </w:hyperlink>
      <w:r w:rsidR="006876E8">
        <w:t xml:space="preserve">; Settlement Agreement with edX, Inc., DJ #202-36-255, (April 2, 2015), </w:t>
      </w:r>
      <w:r w:rsidR="006876E8">
        <w:rPr>
          <w:i/>
        </w:rPr>
        <w:t xml:space="preserve">available </w:t>
      </w:r>
      <w:r w:rsidR="006876E8" w:rsidRPr="00C178CF">
        <w:rPr>
          <w:i/>
        </w:rPr>
        <w:t>at</w:t>
      </w:r>
      <w:r w:rsidR="006876E8">
        <w:t xml:space="preserve"> </w:t>
      </w:r>
      <w:hyperlink r:id="rId14" w:history="1">
        <w:r w:rsidR="006876E8" w:rsidRPr="004F0D84">
          <w:rPr>
            <w:rStyle w:val="Hyperlink"/>
          </w:rPr>
          <w:t>https://www.ada.gov/edx_sa.htm</w:t>
        </w:r>
      </w:hyperlink>
      <w:r w:rsidR="00A574AA">
        <w:t xml:space="preserve">.  DOJ’s 2013 settlement agreement with Louisiana Tech University encompassed not only the University’s website, but also all electronic and information technology, instructional materials and online courses. </w:t>
      </w:r>
      <w:r w:rsidR="00A574AA">
        <w:rPr>
          <w:i/>
        </w:rPr>
        <w:t xml:space="preserve">See </w:t>
      </w:r>
      <w:r>
        <w:t>Settlemen</w:t>
      </w:r>
      <w:r>
        <w:t>t Agreement with</w:t>
      </w:r>
      <w:r>
        <w:rPr>
          <w:color w:val="0E0E0E"/>
        </w:rPr>
        <w:t xml:space="preserve"> </w:t>
      </w:r>
      <w:r w:rsidRPr="00A71791">
        <w:rPr>
          <w:color w:val="0E0E0E"/>
        </w:rPr>
        <w:t>Louisiana Tech University,</w:t>
      </w:r>
      <w:r>
        <w:rPr>
          <w:color w:val="0E0E0E"/>
        </w:rPr>
        <w:t xml:space="preserve"> DJ #204-33-116 (July 22, 2013), </w:t>
      </w:r>
      <w:r w:rsidRPr="009E0332">
        <w:rPr>
          <w:i/>
        </w:rPr>
        <w:t>available at</w:t>
      </w:r>
      <w:r>
        <w:rPr>
          <w:color w:val="0E0E0E"/>
        </w:rPr>
        <w:t xml:space="preserve"> </w:t>
      </w:r>
      <w:hyperlink r:id="rId15" w:history="1">
        <w:r w:rsidRPr="004F0D84">
          <w:rPr>
            <w:rStyle w:val="Hyperlink"/>
          </w:rPr>
          <w:t>https://www.ada.gov/louisiana-tech.htm</w:t>
        </w:r>
      </w:hyperlink>
      <w:r w:rsidR="00873BB4">
        <w:rPr>
          <w:color w:val="0E0E0E"/>
        </w:rPr>
        <w:t>.</w:t>
      </w:r>
      <w:r>
        <w:rPr>
          <w:color w:val="0E0E0E"/>
        </w:rPr>
        <w:t xml:space="preserve"> </w:t>
      </w:r>
      <w:r w:rsidRPr="00A71791">
        <w:rPr>
          <w:color w:val="0E0E0E"/>
        </w:rPr>
        <w:t xml:space="preserve"> </w:t>
      </w:r>
      <w:r w:rsidR="0035573D">
        <w:rPr>
          <w:color w:val="0E0E0E"/>
        </w:rPr>
        <w:t>In August 2016, DOJ notified the University of California</w:t>
      </w:r>
      <w:r w:rsidR="00E735A6">
        <w:rPr>
          <w:color w:val="0E0E0E"/>
        </w:rPr>
        <w:t>,</w:t>
      </w:r>
      <w:r w:rsidR="0035573D">
        <w:rPr>
          <w:color w:val="0E0E0E"/>
        </w:rPr>
        <w:t xml:space="preserve"> Berkeley</w:t>
      </w:r>
      <w:r w:rsidR="00EB30F5">
        <w:rPr>
          <w:color w:val="0E0E0E"/>
        </w:rPr>
        <w:t>,</w:t>
      </w:r>
      <w:r w:rsidR="0035573D">
        <w:rPr>
          <w:color w:val="0E0E0E"/>
        </w:rPr>
        <w:t xml:space="preserve"> </w:t>
      </w:r>
      <w:r w:rsidR="0035573D" w:rsidRPr="0035573D">
        <w:rPr>
          <w:color w:val="0E0E0E"/>
        </w:rPr>
        <w:t xml:space="preserve">that large segments of </w:t>
      </w:r>
      <w:r w:rsidR="0035573D">
        <w:rPr>
          <w:color w:val="0E0E0E"/>
        </w:rPr>
        <w:t>its</w:t>
      </w:r>
      <w:r w:rsidR="0035573D" w:rsidRPr="0035573D">
        <w:rPr>
          <w:color w:val="0E0E0E"/>
        </w:rPr>
        <w:t xml:space="preserve"> free, publicly available </w:t>
      </w:r>
      <w:r w:rsidR="0035573D">
        <w:rPr>
          <w:color w:val="0E0E0E"/>
        </w:rPr>
        <w:t xml:space="preserve">audio and video content, </w:t>
      </w:r>
      <w:r w:rsidR="00E735A6">
        <w:rPr>
          <w:color w:val="0E0E0E"/>
        </w:rPr>
        <w:t>(</w:t>
      </w:r>
      <w:r w:rsidR="0035573D">
        <w:rPr>
          <w:color w:val="0E0E0E"/>
        </w:rPr>
        <w:t xml:space="preserve">including </w:t>
      </w:r>
      <w:r w:rsidR="00E735A6">
        <w:rPr>
          <w:color w:val="0E0E0E"/>
        </w:rPr>
        <w:t xml:space="preserve">its YouTube channel, iTunes U platform and Massive Open Online Courses) </w:t>
      </w:r>
      <w:r w:rsidR="00B5548B">
        <w:rPr>
          <w:color w:val="0E0E0E"/>
        </w:rPr>
        <w:t>were</w:t>
      </w:r>
      <w:r w:rsidR="0035573D" w:rsidRPr="0035573D">
        <w:rPr>
          <w:color w:val="0E0E0E"/>
        </w:rPr>
        <w:t xml:space="preserve"> not accessible to individuals with hearing, vision or manual disabilities.</w:t>
      </w:r>
      <w:r w:rsidR="00E735A6">
        <w:rPr>
          <w:color w:val="0E0E0E"/>
        </w:rPr>
        <w:t xml:space="preserve">  </w:t>
      </w:r>
      <w:r w:rsidR="00E735A6">
        <w:rPr>
          <w:i/>
          <w:color w:val="0E0E0E"/>
        </w:rPr>
        <w:t>See</w:t>
      </w:r>
      <w:r w:rsidR="00E735A6">
        <w:rPr>
          <w:color w:val="0E0E0E"/>
        </w:rPr>
        <w:t xml:space="preserve"> Letter dated August 30, 2016 to University of California, Berkeley, </w:t>
      </w:r>
      <w:r w:rsidR="00E735A6">
        <w:rPr>
          <w:i/>
          <w:color w:val="0E0E0E"/>
        </w:rPr>
        <w:t xml:space="preserve">available at </w:t>
      </w:r>
      <w:hyperlink r:id="rId16" w:history="1">
        <w:r w:rsidR="00E735A6" w:rsidRPr="004F0D84">
          <w:rPr>
            <w:rStyle w:val="Hyperlink"/>
          </w:rPr>
          <w:t>https://www.ada.gov/briefs/uc_berkley_lof.pdf</w:t>
        </w:r>
      </w:hyperlink>
      <w:r w:rsidR="00E735A6">
        <w:rPr>
          <w:color w:val="0E0E0E"/>
        </w:rPr>
        <w:t xml:space="preserve">.  </w:t>
      </w:r>
    </w:p>
    <w:p w14:paraId="37658F27" w14:textId="77777777" w:rsidR="001967D9" w:rsidRDefault="00F54BE0" w:rsidP="0035573D">
      <w:pPr>
        <w:pStyle w:val="BodyTextFirstIndent"/>
        <w:jc w:val="left"/>
      </w:pPr>
      <w:r w:rsidRPr="0035573D">
        <w:rPr>
          <w:color w:val="0E0E0E"/>
        </w:rPr>
        <w:t>D</w:t>
      </w:r>
      <w:r>
        <w:t>OJ</w:t>
      </w:r>
      <w:r w:rsidR="005267C3">
        <w:t xml:space="preserve">’s </w:t>
      </w:r>
      <w:r>
        <w:t>September 25, 2018</w:t>
      </w:r>
      <w:r w:rsidR="00EB30F5">
        <w:t>,</w:t>
      </w:r>
      <w:r w:rsidR="005267C3">
        <w:t xml:space="preserve"> response suggests that strict adherence to WCAG 2.0 AA or any other voluntary standard</w:t>
      </w:r>
      <w:r w:rsidR="006D60DA">
        <w:t xml:space="preserve"> may not be required</w:t>
      </w:r>
      <w:r w:rsidR="005267C3">
        <w:t xml:space="preserve">. </w:t>
      </w:r>
      <w:r w:rsidR="006D60DA">
        <w:t xml:space="preserve">While </w:t>
      </w:r>
      <w:r w:rsidR="005267C3">
        <w:t xml:space="preserve">DOJ reiterated </w:t>
      </w:r>
      <w:r>
        <w:t xml:space="preserve">that </w:t>
      </w:r>
      <w:r w:rsidR="001F0D79">
        <w:t xml:space="preserve">the lack of specific regulations or standards </w:t>
      </w:r>
      <w:r w:rsidR="00D47C2B">
        <w:t>doe</w:t>
      </w:r>
      <w:r>
        <w:t>s</w:t>
      </w:r>
      <w:r w:rsidR="00D47C2B">
        <w:t xml:space="preserve"> n</w:t>
      </w:r>
      <w:r>
        <w:t>o</w:t>
      </w:r>
      <w:r w:rsidR="00D47C2B">
        <w:t>t</w:t>
      </w:r>
      <w:r>
        <w:t xml:space="preserve"> absolve an entity from complying with the ADA’s requirements, </w:t>
      </w:r>
      <w:r w:rsidR="006D60DA">
        <w:t>it</w:t>
      </w:r>
      <w:r w:rsidR="005267C3">
        <w:t xml:space="preserve"> further noted</w:t>
      </w:r>
      <w:r w:rsidR="001F0D79">
        <w:t xml:space="preserve"> that</w:t>
      </w:r>
    </w:p>
    <w:p w14:paraId="4E3189BC" w14:textId="77777777" w:rsidR="005821E3" w:rsidRDefault="00F54BE0" w:rsidP="001967D9">
      <w:pPr>
        <w:pStyle w:val="BodyTextFirstIndent"/>
        <w:ind w:left="1440" w:right="1440" w:firstLine="0"/>
      </w:pPr>
      <w:r>
        <w:lastRenderedPageBreak/>
        <w:t>[a]</w:t>
      </w:r>
      <w:proofErr w:type="spellStart"/>
      <w:r>
        <w:t>bsent</w:t>
      </w:r>
      <w:proofErr w:type="spellEnd"/>
      <w:r>
        <w:t xml:space="preserve"> the adoption of specif</w:t>
      </w:r>
      <w:r w:rsidR="008F5C05">
        <w:t>i</w:t>
      </w:r>
      <w:r>
        <w:t xml:space="preserve">c technical requirements for websites through rulemaking, public accommodations have </w:t>
      </w:r>
      <w:r w:rsidRPr="001967D9">
        <w:rPr>
          <w:i/>
        </w:rPr>
        <w:t>fle</w:t>
      </w:r>
      <w:r w:rsidRPr="001967D9">
        <w:rPr>
          <w:i/>
        </w:rPr>
        <w:t>xibility</w:t>
      </w:r>
      <w:r>
        <w:t xml:space="preserve"> in how to comply with the ADA’s general requirements of nondiscrimination and effective communication</w:t>
      </w:r>
      <w:r w:rsidR="00D47C2B">
        <w:t>.  Accordingly, noncompliance with a voluntary technical standard for website accessibility does not necessarily indicate noncompliance with the ADA. (</w:t>
      </w:r>
      <w:r w:rsidR="00B5127E">
        <w:t>E</w:t>
      </w:r>
      <w:r w:rsidR="00D47C2B">
        <w:t>mphasis added</w:t>
      </w:r>
      <w:r w:rsidR="00B5127E">
        <w:t>.</w:t>
      </w:r>
      <w:r w:rsidR="00D47C2B">
        <w:t>)</w:t>
      </w:r>
      <w:r w:rsidR="009E0332">
        <w:t xml:space="preserve"> </w:t>
      </w:r>
    </w:p>
    <w:p w14:paraId="5D7DBE79" w14:textId="77777777" w:rsidR="004E4A51" w:rsidRDefault="00F54BE0" w:rsidP="00B837E8">
      <w:pPr>
        <w:pStyle w:val="BodyTextFirstIndent"/>
        <w:jc w:val="left"/>
      </w:pPr>
      <w:r>
        <w:t xml:space="preserve">DOJ did not elaborate further on the “flexibility” a covered entity may have in complying with the ADA.  DOJ’s response indicates that, at least in its </w:t>
      </w:r>
      <w:r w:rsidR="00A20CCB">
        <w:t xml:space="preserve">current </w:t>
      </w:r>
      <w:r>
        <w:t>view</w:t>
      </w:r>
      <w:r w:rsidR="0032011B">
        <w:t>, failure to fully conform a website or other digital software or technology to a voluntary technical standard, such as WCAG, does not automatically give rise to liability under the ADA.</w:t>
      </w:r>
      <w:r w:rsidR="00A20CCB">
        <w:t xml:space="preserve">  As discussed further below, </w:t>
      </w:r>
      <w:r w:rsidR="00A76F1D">
        <w:t xml:space="preserve">however, </w:t>
      </w:r>
      <w:r w:rsidR="00A20CCB">
        <w:t>courts and private litigants have used WCAG 2.0 AA in evaluating whether a website is accessible and in framing injunctive relief with respect to remediation of websites.</w:t>
      </w:r>
      <w:r w:rsidR="002C1141">
        <w:t xml:space="preserve">  </w:t>
      </w:r>
      <w:r w:rsidR="00F64BFE">
        <w:t xml:space="preserve">Additionally, although under the current administration DOJ does not appear to be as actively pursuing settlements or participating in litigation in this area, private litigants are filing increasing amounts of litigation.  </w:t>
      </w:r>
    </w:p>
    <w:p w14:paraId="3C01053E" w14:textId="77777777" w:rsidR="003F0D3D" w:rsidRDefault="00F54BE0" w:rsidP="0071605E">
      <w:pPr>
        <w:pStyle w:val="Heading2"/>
        <w:ind w:left="720"/>
      </w:pPr>
      <w:r>
        <w:t>U.S. Department of Education, Office for Civil Rights</w:t>
      </w:r>
      <w:r w:rsidR="00ED6CD4">
        <w:t xml:space="preserve"> (OCR)</w:t>
      </w:r>
      <w:r>
        <w:t xml:space="preserve"> </w:t>
      </w:r>
    </w:p>
    <w:p w14:paraId="0E32FAD6" w14:textId="77777777" w:rsidR="00ED6CD4" w:rsidRDefault="00ED6CD4" w:rsidP="00ED6CD4"/>
    <w:p w14:paraId="54CD9904" w14:textId="01D4B16A" w:rsidR="006666E0" w:rsidRDefault="00F54BE0" w:rsidP="00B837E8">
      <w:pPr>
        <w:pStyle w:val="BodyTextFirstIndent"/>
        <w:jc w:val="left"/>
      </w:pPr>
      <w:r>
        <w:t>2018 similarly brought changes to OCR’s approach to administ</w:t>
      </w:r>
      <w:r w:rsidR="00B7285E">
        <w:t>r</w:t>
      </w:r>
      <w:r>
        <w:t>ative complaints</w:t>
      </w:r>
      <w:r w:rsidR="00D946B6">
        <w:t>, including those</w:t>
      </w:r>
      <w:r w:rsidR="00D6203F">
        <w:t xml:space="preserve"> regarding </w:t>
      </w:r>
      <w:r w:rsidR="004E0D8B">
        <w:t>digital accessibility.  O</w:t>
      </w:r>
      <w:r w:rsidR="00D6203F">
        <w:t xml:space="preserve">n March </w:t>
      </w:r>
      <w:r w:rsidR="004E0D8B">
        <w:t xml:space="preserve">5, </w:t>
      </w:r>
      <w:r w:rsidR="00D6203F">
        <w:t xml:space="preserve">2018, OCR </w:t>
      </w:r>
      <w:r w:rsidR="00EE1C89">
        <w:t>updated its</w:t>
      </w:r>
      <w:r w:rsidR="00D26142">
        <w:t xml:space="preserve"> Case P</w:t>
      </w:r>
      <w:r w:rsidR="00EE1C89">
        <w:t>r</w:t>
      </w:r>
      <w:r w:rsidR="00D26142">
        <w:t>o</w:t>
      </w:r>
      <w:r w:rsidR="00EE1C89">
        <w:t>cessi</w:t>
      </w:r>
      <w:r w:rsidR="004E0D8B">
        <w:t>n</w:t>
      </w:r>
      <w:r w:rsidR="00EE1C89">
        <w:t>g</w:t>
      </w:r>
      <w:r w:rsidR="004E0D8B">
        <w:t xml:space="preserve"> Manual</w:t>
      </w:r>
      <w:r w:rsidR="00EE1C89">
        <w:t xml:space="preserve"> to address bulk or mass complaints</w:t>
      </w:r>
      <w:r w:rsidR="001F6F71">
        <w:t xml:space="preserve">, </w:t>
      </w:r>
      <w:r w:rsidR="00072E8A">
        <w:t>subjecting them</w:t>
      </w:r>
      <w:r w:rsidR="00D6203F">
        <w:t xml:space="preserve"> </w:t>
      </w:r>
      <w:r w:rsidR="00072E8A">
        <w:t xml:space="preserve">to dismissal without investigation.  </w:t>
      </w:r>
      <w:r w:rsidR="00E61B08">
        <w:t>Complaints subject to dismissal included those OCR determined to be</w:t>
      </w:r>
      <w:r w:rsidR="00C42802">
        <w:t xml:space="preserve"> </w:t>
      </w:r>
      <w:r w:rsidR="00D26142">
        <w:t>“a continuation of a pattern of complain</w:t>
      </w:r>
      <w:r w:rsidR="00C25581">
        <w:t>ts previ</w:t>
      </w:r>
      <w:r w:rsidR="00D26142">
        <w:t>ou</w:t>
      </w:r>
      <w:r w:rsidR="00C25581">
        <w:t>s</w:t>
      </w:r>
      <w:r w:rsidR="00D26142">
        <w:t xml:space="preserve">ly filed with OCR by an </w:t>
      </w:r>
      <w:r w:rsidR="00D6203F">
        <w:t>indi</w:t>
      </w:r>
      <w:r w:rsidR="00D26142">
        <w:t>vidual</w:t>
      </w:r>
      <w:r w:rsidR="00D6203F">
        <w:t xml:space="preserve"> or </w:t>
      </w:r>
      <w:r w:rsidR="001F6F71">
        <w:t>group agai</w:t>
      </w:r>
      <w:r w:rsidR="00D26142">
        <w:t>n</w:t>
      </w:r>
      <w:r w:rsidR="001F6F71">
        <w:t>s</w:t>
      </w:r>
      <w:r w:rsidR="00B7285E">
        <w:t>t multiple recip</w:t>
      </w:r>
      <w:r w:rsidR="00D26142">
        <w:t>i</w:t>
      </w:r>
      <w:r w:rsidR="00B7285E">
        <w:t>e</w:t>
      </w:r>
      <w:r w:rsidR="00D26142">
        <w:t xml:space="preserve">nts or </w:t>
      </w:r>
      <w:r w:rsidR="001F6F71">
        <w:t>c</w:t>
      </w:r>
      <w:r w:rsidR="00C25581">
        <w:t xml:space="preserve">omplaint[s] filed for </w:t>
      </w:r>
      <w:r w:rsidR="001F6F71">
        <w:t>the first time against multiple recipients that, viewed as a whole, places an unreaso</w:t>
      </w:r>
      <w:r w:rsidR="00C42802">
        <w:t>nable burden on OCR’s resources</w:t>
      </w:r>
      <w:r w:rsidR="00D6203F">
        <w:t>.</w:t>
      </w:r>
      <w:r w:rsidR="00C42802">
        <w:t>”</w:t>
      </w:r>
      <w:r w:rsidR="00D6203F">
        <w:t xml:space="preserve">  OCR’s rationale was to prioritize its resources and better manage its caseload.  </w:t>
      </w:r>
      <w:r w:rsidR="00601AE1">
        <w:t>The volume of complaints OCR</w:t>
      </w:r>
      <w:r w:rsidR="00B4577F">
        <w:t xml:space="preserve"> received increased from 5,805 in FY 2006 to 12,837 in FY 2017</w:t>
      </w:r>
      <w:r w:rsidR="00601AE1">
        <w:t>, and complaints alleging disability discrimination accounted for 43% of those filed in FY 2017.</w:t>
      </w:r>
      <w:r w:rsidR="00E61B08">
        <w:t xml:space="preserve">  </w:t>
      </w:r>
      <w:r w:rsidR="00E61B08" w:rsidRPr="00CC1180">
        <w:rPr>
          <w:i/>
        </w:rPr>
        <w:t>See</w:t>
      </w:r>
      <w:r w:rsidR="00E61B08">
        <w:t xml:space="preserve"> OCR Fiscal Year 2019 Budget Request, at Z-20</w:t>
      </w:r>
      <w:r w:rsidR="00601AE1">
        <w:t>, Z-21</w:t>
      </w:r>
      <w:r w:rsidR="00E61B08">
        <w:t xml:space="preserve">, </w:t>
      </w:r>
      <w:r w:rsidR="00E61B08">
        <w:rPr>
          <w:i/>
        </w:rPr>
        <w:t xml:space="preserve">available at </w:t>
      </w:r>
      <w:hyperlink r:id="rId17" w:history="1">
        <w:r w:rsidR="00E61B08" w:rsidRPr="00CE7664">
          <w:rPr>
            <w:rStyle w:val="Hyperlink"/>
          </w:rPr>
          <w:t>https://www2.ed.gov/about/overview/budget/budget19/justifications/z-ocr.pdf</w:t>
        </w:r>
      </w:hyperlink>
      <w:r w:rsidR="00E61B08">
        <w:t xml:space="preserve">. </w:t>
      </w:r>
      <w:r w:rsidR="00601AE1">
        <w:t xml:space="preserve"> </w:t>
      </w:r>
      <w:r w:rsidR="00CC1180">
        <w:t xml:space="preserve">OCR also reported </w:t>
      </w:r>
      <w:r w:rsidR="00B6378E">
        <w:t xml:space="preserve">that as of September 30, 2017, 58% of the complaints received were pending over 180 days.  </w:t>
      </w:r>
      <w:r w:rsidR="00B6378E">
        <w:rPr>
          <w:i/>
        </w:rPr>
        <w:t>Id.</w:t>
      </w:r>
      <w:r w:rsidR="00B6378E">
        <w:t xml:space="preserve"> at Z-22.  </w:t>
      </w:r>
      <w:r w:rsidR="00601AE1">
        <w:t xml:space="preserve">Pursuant to this “mass </w:t>
      </w:r>
      <w:r w:rsidR="008002D1">
        <w:t>complaint</w:t>
      </w:r>
      <w:r w:rsidR="00C25581">
        <w:t>” provision, OCR reportedly dismissed nearly 700 complaints</w:t>
      </w:r>
      <w:r w:rsidR="00D263B0">
        <w:t xml:space="preserve"> filed by </w:t>
      </w:r>
      <w:r w:rsidR="00601AE1">
        <w:t xml:space="preserve">just </w:t>
      </w:r>
      <w:r w:rsidR="00D263B0">
        <w:t>five individuals.</w:t>
      </w:r>
      <w:r w:rsidR="00C25581">
        <w:t xml:space="preserve"> </w:t>
      </w:r>
    </w:p>
    <w:p w14:paraId="6E740DE9" w14:textId="77777777" w:rsidR="00ED6CD4" w:rsidRDefault="00F54BE0" w:rsidP="00B837E8">
      <w:pPr>
        <w:pStyle w:val="BodyTextFirstIndent"/>
        <w:jc w:val="left"/>
      </w:pPr>
      <w:r>
        <w:t>O</w:t>
      </w:r>
      <w:r w:rsidR="006666E0">
        <w:t xml:space="preserve">n November </w:t>
      </w:r>
      <w:r>
        <w:t xml:space="preserve">19, </w:t>
      </w:r>
      <w:r w:rsidR="00D263B0">
        <w:t xml:space="preserve">2018, OCR reversed course, removed the provision from the Manual, and indicated that it would conduct investigations into </w:t>
      </w:r>
      <w:r w:rsidR="008002D1">
        <w:t xml:space="preserve">the </w:t>
      </w:r>
      <w:r w:rsidR="00D263B0">
        <w:t>complaints that had been dism</w:t>
      </w:r>
      <w:r w:rsidR="008002D1">
        <w:t>issed</w:t>
      </w:r>
      <w:r w:rsidR="00D263B0">
        <w:t xml:space="preserve">.  </w:t>
      </w:r>
      <w:r w:rsidR="00961E49">
        <w:t xml:space="preserve">The reversal came after several civil rights groups filed suit asserting that the March 2018 revisions to OCR’s Case Processing Manual violated the Administrative Procedure Act.  </w:t>
      </w:r>
      <w:r w:rsidR="00961E49">
        <w:rPr>
          <w:i/>
        </w:rPr>
        <w:t>See</w:t>
      </w:r>
      <w:r w:rsidR="00961E49">
        <w:t xml:space="preserve"> </w:t>
      </w:r>
      <w:r w:rsidR="00961E49">
        <w:rPr>
          <w:i/>
        </w:rPr>
        <w:t xml:space="preserve">National Federation of the Blind et al. v. </w:t>
      </w:r>
      <w:r w:rsidR="00961E49" w:rsidRPr="00961E49">
        <w:rPr>
          <w:i/>
        </w:rPr>
        <w:t>U.S. Department of Educ.</w:t>
      </w:r>
      <w:r w:rsidR="00961E49">
        <w:rPr>
          <w:i/>
        </w:rPr>
        <w:t>,</w:t>
      </w:r>
      <w:r w:rsidR="00961E49">
        <w:t xml:space="preserve"> No. 1:18-cv-01568-TDC (D. Md.) (filed May 31, 2018).</w:t>
      </w:r>
    </w:p>
    <w:p w14:paraId="75468D37" w14:textId="4AFE2C09" w:rsidR="00F43076" w:rsidRPr="00961E49" w:rsidRDefault="00F54BE0" w:rsidP="00152E5F">
      <w:pPr>
        <w:pStyle w:val="BodyTextFirstIndent"/>
        <w:jc w:val="left"/>
      </w:pPr>
      <w:r>
        <w:t>Prior to the March 2018 revision to its Case Processin</w:t>
      </w:r>
      <w:r>
        <w:t>g Manual, OCR had</w:t>
      </w:r>
      <w:r w:rsidR="00FC7B4F">
        <w:t xml:space="preserve"> entered into several resolution agreements addressing </w:t>
      </w:r>
      <w:r>
        <w:t xml:space="preserve">digital </w:t>
      </w:r>
      <w:r w:rsidR="00FC7B4F">
        <w:t xml:space="preserve">accessibility </w:t>
      </w:r>
      <w:r w:rsidR="00D946B6">
        <w:t>unde</w:t>
      </w:r>
      <w:r w:rsidR="00B407FB">
        <w:t>r Section 504 of the Rehabilita</w:t>
      </w:r>
      <w:r w:rsidR="00D946B6">
        <w:t>t</w:t>
      </w:r>
      <w:r w:rsidR="00B407FB">
        <w:t>i</w:t>
      </w:r>
      <w:r w:rsidR="00D946B6">
        <w:t>on Act and/or Title II of the ADA</w:t>
      </w:r>
      <w:r>
        <w:t>.</w:t>
      </w:r>
      <w:r w:rsidR="003269E9">
        <w:t xml:space="preserve">  </w:t>
      </w:r>
      <w:r w:rsidR="000A41DA">
        <w:t>In the higher education context, c</w:t>
      </w:r>
      <w:r w:rsidR="000E58E3" w:rsidRPr="003359C4">
        <w:t>ampus</w:t>
      </w:r>
      <w:r w:rsidR="000E58E3">
        <w:t xml:space="preserve"> technology covered by such agreements include</w:t>
      </w:r>
      <w:r w:rsidR="00B407FB">
        <w:t>s</w:t>
      </w:r>
      <w:r w:rsidR="000E58E3">
        <w:t xml:space="preserve"> not only public facing websites, but also </w:t>
      </w:r>
      <w:r w:rsidR="000E58E3">
        <w:lastRenderedPageBreak/>
        <w:t>intranets, lear</w:t>
      </w:r>
      <w:r w:rsidR="00FE5E2F">
        <w:t>ning manageme</w:t>
      </w:r>
      <w:r w:rsidR="000E58E3">
        <w:t xml:space="preserve">nt systems, </w:t>
      </w:r>
      <w:r w:rsidR="00FE5E2F">
        <w:t>financial aid and admission</w:t>
      </w:r>
      <w:r w:rsidR="00B407FB">
        <w:t>s portals, library re</w:t>
      </w:r>
      <w:r w:rsidR="00B5548B">
        <w:t>s</w:t>
      </w:r>
      <w:r w:rsidR="00B407FB">
        <w:t>ources, and</w:t>
      </w:r>
      <w:r w:rsidR="00FE5E2F">
        <w:t xml:space="preserve"> all student-facing technology.  </w:t>
      </w:r>
      <w:r w:rsidR="003269E9">
        <w:t xml:space="preserve">While </w:t>
      </w:r>
      <w:r w:rsidR="00952E9D">
        <w:t>certain of these</w:t>
      </w:r>
      <w:r w:rsidR="003269E9">
        <w:t xml:space="preserve"> agreeme</w:t>
      </w:r>
      <w:r w:rsidR="00D956EB">
        <w:t>n</w:t>
      </w:r>
      <w:r w:rsidR="003269E9">
        <w:t>t</w:t>
      </w:r>
      <w:r w:rsidR="00952E9D">
        <w:t>s afford</w:t>
      </w:r>
      <w:r w:rsidR="00D956EB">
        <w:t xml:space="preserve"> ins</w:t>
      </w:r>
      <w:r w:rsidR="00F64BFE">
        <w:t>t</w:t>
      </w:r>
      <w:r w:rsidR="00D956EB">
        <w:t>i</w:t>
      </w:r>
      <w:r w:rsidR="003269E9">
        <w:t xml:space="preserve">tutions </w:t>
      </w:r>
      <w:r w:rsidR="00952E9D">
        <w:t>flexibility</w:t>
      </w:r>
      <w:r w:rsidR="003269E9">
        <w:t xml:space="preserve"> to </w:t>
      </w:r>
      <w:r w:rsidR="00952E9D">
        <w:t>choose the particular</w:t>
      </w:r>
      <w:r w:rsidR="003269E9">
        <w:t xml:space="preserve"> </w:t>
      </w:r>
      <w:r w:rsidR="00952E9D">
        <w:t xml:space="preserve">technical </w:t>
      </w:r>
      <w:proofErr w:type="gramStart"/>
      <w:r w:rsidR="003269E9">
        <w:t>standards</w:t>
      </w:r>
      <w:proofErr w:type="gramEnd"/>
      <w:r w:rsidR="003269E9">
        <w:t xml:space="preserve"> </w:t>
      </w:r>
      <w:r w:rsidR="00952E9D">
        <w:t xml:space="preserve">they would use </w:t>
      </w:r>
      <w:r w:rsidR="003269E9">
        <w:t xml:space="preserve">to </w:t>
      </w:r>
      <w:r w:rsidR="00952E9D">
        <w:t xml:space="preserve">determine accessibility </w:t>
      </w:r>
      <w:r w:rsidR="003269E9">
        <w:t>(</w:t>
      </w:r>
      <w:r w:rsidR="003269E9" w:rsidRPr="00B407FB">
        <w:rPr>
          <w:i/>
        </w:rPr>
        <w:t>e.g.,</w:t>
      </w:r>
      <w:r w:rsidR="003269E9">
        <w:t xml:space="preserve"> WCAG 2.0, </w:t>
      </w:r>
      <w:r w:rsidR="00D946B6">
        <w:t xml:space="preserve">the former </w:t>
      </w:r>
      <w:r w:rsidR="003269E9">
        <w:t xml:space="preserve">Section 508 Standards), in 2015 OCR began to specify particular technology standards for assessing accessibility, including WCAG 2.0 </w:t>
      </w:r>
      <w:r w:rsidR="009D6047">
        <w:t>and other recommended guide</w:t>
      </w:r>
      <w:r w:rsidR="00D946B6">
        <w:t>l</w:t>
      </w:r>
      <w:r w:rsidR="009D6047">
        <w:t xml:space="preserve">ines issued by W3C, such as </w:t>
      </w:r>
      <w:r w:rsidR="00D946B6">
        <w:t>t</w:t>
      </w:r>
      <w:r w:rsidR="009D6047">
        <w:t>h</w:t>
      </w:r>
      <w:r w:rsidR="00D946B6">
        <w:t>e</w:t>
      </w:r>
      <w:r w:rsidR="009D6047">
        <w:t xml:space="preserve"> Web Accessibility In</w:t>
      </w:r>
      <w:r w:rsidR="003359C4">
        <w:t>i</w:t>
      </w:r>
      <w:r w:rsidR="009D6047">
        <w:t xml:space="preserve">tiative Accessible Rich Internet Applications Suite (WAI-ARIA). </w:t>
      </w:r>
      <w:r w:rsidR="00D956EB">
        <w:t xml:space="preserve"> </w:t>
      </w:r>
      <w:r w:rsidR="003568E5">
        <w:rPr>
          <w:i/>
        </w:rPr>
        <w:t xml:space="preserve">See </w:t>
      </w:r>
      <w:r w:rsidR="003568E5">
        <w:t xml:space="preserve">Resolution Agreement with </w:t>
      </w:r>
      <w:r w:rsidR="003568E5" w:rsidRPr="0080360A">
        <w:rPr>
          <w:bCs/>
          <w:color w:val="0E0E0E"/>
        </w:rPr>
        <w:t>University</w:t>
      </w:r>
      <w:r w:rsidR="003568E5" w:rsidRPr="0080360A">
        <w:t xml:space="preserve"> of Phoenix,</w:t>
      </w:r>
      <w:r w:rsidR="003568E5">
        <w:t xml:space="preserve"> OCR No. 08-15-2040 (June 12, 2015), </w:t>
      </w:r>
      <w:r w:rsidR="003568E5" w:rsidRPr="003359C4">
        <w:rPr>
          <w:i/>
        </w:rPr>
        <w:t>available at</w:t>
      </w:r>
      <w:r w:rsidR="003568E5">
        <w:t xml:space="preserve"> </w:t>
      </w:r>
      <w:hyperlink r:id="rId18" w:history="1">
        <w:r w:rsidR="00CE7664" w:rsidRPr="0074429D">
          <w:rPr>
            <w:rStyle w:val="Hyperlink"/>
          </w:rPr>
          <w:t>https://www2.ed.gov/about/offices/list/ocr/docs/investigations/more/08152040-b.pdf</w:t>
        </w:r>
      </w:hyperlink>
      <w:r w:rsidR="003568E5">
        <w:t xml:space="preserve">; </w:t>
      </w:r>
      <w:r w:rsidR="00E804AA">
        <w:t xml:space="preserve">Resolution Agreement with Spokane School District No. 81, OCR Reference No. 10171197 (May 30, 2017), </w:t>
      </w:r>
      <w:r w:rsidR="00E804AA" w:rsidRPr="003359C4">
        <w:rPr>
          <w:i/>
        </w:rPr>
        <w:t>available at</w:t>
      </w:r>
      <w:r w:rsidR="00E804AA">
        <w:t xml:space="preserve"> </w:t>
      </w:r>
      <w:hyperlink r:id="rId19" w:history="1">
        <w:r w:rsidR="00CE7664" w:rsidRPr="0074429D">
          <w:rPr>
            <w:rStyle w:val="Hyperlink"/>
          </w:rPr>
          <w:t>https://www2.ed.gov/about/offices/list/ocr/docs/investigations/more/10171197-b.pdf</w:t>
        </w:r>
      </w:hyperlink>
      <w:r w:rsidR="00E804AA">
        <w:t>.</w:t>
      </w:r>
      <w:r w:rsidR="00152E5F">
        <w:t xml:space="preserve">  </w:t>
      </w:r>
      <w:r w:rsidR="00ED5919">
        <w:t xml:space="preserve">As we proceed into 2019, it will be interesting to observe </w:t>
      </w:r>
      <w:r w:rsidR="00152E5F">
        <w:t xml:space="preserve">whether and/or </w:t>
      </w:r>
      <w:r w:rsidR="003C64CC">
        <w:t>the degree to which</w:t>
      </w:r>
      <w:r w:rsidR="00ED5919">
        <w:t xml:space="preserve"> OCR provides institutions with “flexibility”</w:t>
      </w:r>
      <w:r w:rsidR="003C64CC">
        <w:t xml:space="preserve"> in making their websites and digital content accessible.  </w:t>
      </w:r>
    </w:p>
    <w:p w14:paraId="2EA474A3" w14:textId="77777777" w:rsidR="005821E3" w:rsidRPr="0071605E" w:rsidRDefault="00F54BE0" w:rsidP="00A76F1D">
      <w:pPr>
        <w:pStyle w:val="Heading1"/>
        <w:spacing w:before="240" w:after="240"/>
        <w:contextualSpacing w:val="0"/>
      </w:pPr>
      <w:r>
        <w:t xml:space="preserve">The </w:t>
      </w:r>
      <w:r w:rsidRPr="0071605E">
        <w:t>Courts</w:t>
      </w:r>
    </w:p>
    <w:p w14:paraId="761B5C37" w14:textId="77777777" w:rsidR="005821E3" w:rsidRDefault="00F54BE0" w:rsidP="00B837E8">
      <w:pPr>
        <w:pStyle w:val="BodyTextFirstIndent"/>
        <w:jc w:val="left"/>
      </w:pPr>
      <w:r>
        <w:t>With the change in administration</w:t>
      </w:r>
      <w:r w:rsidR="00395502">
        <w:t>, more focus has shifted to the courts</w:t>
      </w:r>
      <w:r w:rsidR="00842CC2">
        <w:t>.</w:t>
      </w:r>
      <w:r w:rsidR="00395502">
        <w:t xml:space="preserve">  To date, </w:t>
      </w:r>
      <w:proofErr w:type="gramStart"/>
      <w:r w:rsidR="00D946B6">
        <w:t>the majority of</w:t>
      </w:r>
      <w:proofErr w:type="gramEnd"/>
      <w:r w:rsidR="00201CD4">
        <w:t xml:space="preserve"> federal litigation </w:t>
      </w:r>
      <w:r w:rsidR="00D946B6">
        <w:t>(</w:t>
      </w:r>
      <w:r w:rsidR="00201CD4">
        <w:t>or demand letters threatening such litigation</w:t>
      </w:r>
      <w:r w:rsidR="00D946B6">
        <w:t>)</w:t>
      </w:r>
      <w:r w:rsidR="00395502">
        <w:t xml:space="preserve"> </w:t>
      </w:r>
      <w:r w:rsidR="00201CD4">
        <w:t xml:space="preserve">regarding digital accessibility </w:t>
      </w:r>
      <w:r w:rsidR="004A2919">
        <w:t xml:space="preserve">has </w:t>
      </w:r>
      <w:r w:rsidR="00395502">
        <w:t>been brought under Title III of the ADA</w:t>
      </w:r>
      <w:r w:rsidR="00D946B6">
        <w:t xml:space="preserve">. </w:t>
      </w:r>
      <w:r w:rsidR="004A2919">
        <w:t xml:space="preserve">These cases </w:t>
      </w:r>
      <w:r w:rsidR="00D946B6">
        <w:t xml:space="preserve">involve a wide array </w:t>
      </w:r>
      <w:r w:rsidR="00283DAB">
        <w:t>of places of public accommodation</w:t>
      </w:r>
      <w:r w:rsidR="00A0065C">
        <w:t>.</w:t>
      </w:r>
      <w:r w:rsidR="00D946B6">
        <w:t xml:space="preserve"> </w:t>
      </w:r>
      <w:r w:rsidR="00201CD4">
        <w:t xml:space="preserve">While </w:t>
      </w:r>
      <w:r w:rsidR="004A2919">
        <w:t>they</w:t>
      </w:r>
      <w:r w:rsidR="00A0065C">
        <w:t xml:space="preserve"> </w:t>
      </w:r>
      <w:r w:rsidR="00283DAB">
        <w:t xml:space="preserve">pertain primarily to </w:t>
      </w:r>
      <w:r w:rsidR="00201CD4">
        <w:t>websites</w:t>
      </w:r>
      <w:r w:rsidR="00283DAB">
        <w:t>,</w:t>
      </w:r>
      <w:r w:rsidR="00201CD4">
        <w:t xml:space="preserve"> </w:t>
      </w:r>
      <w:r w:rsidR="00A0065C">
        <w:t xml:space="preserve">some also have </w:t>
      </w:r>
      <w:r w:rsidR="008C45A7">
        <w:t>involved</w:t>
      </w:r>
      <w:r w:rsidR="00A0065C">
        <w:t xml:space="preserve"> </w:t>
      </w:r>
      <w:r w:rsidR="00283DAB">
        <w:t xml:space="preserve">mobile applications and </w:t>
      </w:r>
      <w:r w:rsidR="00A0065C">
        <w:t>point-of-sale devices</w:t>
      </w:r>
      <w:r w:rsidR="00201CD4">
        <w:t>.</w:t>
      </w:r>
      <w:r>
        <w:t xml:space="preserve">  Cases </w:t>
      </w:r>
      <w:r w:rsidR="008C45A7">
        <w:t>filed against postsecond</w:t>
      </w:r>
      <w:r>
        <w:t>ary institutions</w:t>
      </w:r>
      <w:r w:rsidR="008C45A7">
        <w:t xml:space="preserve"> typically are brought und</w:t>
      </w:r>
      <w:r w:rsidR="00152E5F">
        <w:t>er Section 504</w:t>
      </w:r>
      <w:r w:rsidR="008C45A7">
        <w:t>, as well as either Title II or Ti</w:t>
      </w:r>
      <w:r w:rsidR="005D5AF1">
        <w:t>t</w:t>
      </w:r>
      <w:r w:rsidR="008C45A7">
        <w:t>le III of the ADA</w:t>
      </w:r>
      <w:r w:rsidR="00A0065C">
        <w:t>.</w:t>
      </w:r>
      <w:r w:rsidR="008C45A7">
        <w:t xml:space="preserve">  </w:t>
      </w:r>
      <w:proofErr w:type="gramStart"/>
      <w:r w:rsidR="00E9375F">
        <w:t>Similar to</w:t>
      </w:r>
      <w:proofErr w:type="gramEnd"/>
      <w:r w:rsidR="00E9375F">
        <w:t xml:space="preserve"> the administrative complaints</w:t>
      </w:r>
      <w:r w:rsidR="004A2919">
        <w:t xml:space="preserve"> noted above</w:t>
      </w:r>
      <w:r w:rsidR="00E9375F">
        <w:t xml:space="preserve">, </w:t>
      </w:r>
      <w:r w:rsidR="00DD3DAB">
        <w:t>such cases have covered a range o</w:t>
      </w:r>
      <w:r w:rsidR="00152E5F">
        <w:t>f campus technology, including Massive Open Online C</w:t>
      </w:r>
      <w:r w:rsidR="00DD3DAB">
        <w:t>ourses.</w:t>
      </w:r>
      <w:r w:rsidR="00152E5F">
        <w:t xml:space="preserve">  Cases also are being pursued in state court</w:t>
      </w:r>
      <w:r w:rsidR="00E6698B">
        <w:t xml:space="preserve"> under state law.</w:t>
      </w:r>
      <w:r w:rsidR="00152E5F">
        <w:t xml:space="preserve"> </w:t>
      </w:r>
    </w:p>
    <w:p w14:paraId="12ADA35E" w14:textId="77777777" w:rsidR="005D5AF1" w:rsidRDefault="00F54BE0" w:rsidP="00B837E8">
      <w:pPr>
        <w:pStyle w:val="BodyTextFirstIndent"/>
        <w:jc w:val="left"/>
      </w:pPr>
      <w:proofErr w:type="gramStart"/>
      <w:r>
        <w:t>The vast majority of</w:t>
      </w:r>
      <w:proofErr w:type="gramEnd"/>
      <w:r>
        <w:t xml:space="preserve"> cases have resulte</w:t>
      </w:r>
      <w:r>
        <w:t xml:space="preserve">d in settlements, typically prior to any decision by the presiding court.  </w:t>
      </w:r>
      <w:r w:rsidR="0025225F">
        <w:t xml:space="preserve">Case decisions rendered typically have focused on </w:t>
      </w:r>
      <w:r w:rsidR="00C85D36">
        <w:t>certain</w:t>
      </w:r>
      <w:r w:rsidR="0025225F">
        <w:t xml:space="preserve"> threshold issues</w:t>
      </w:r>
      <w:r w:rsidR="00DD3DAB">
        <w:t xml:space="preserve">: 1) </w:t>
      </w:r>
      <w:r w:rsidR="0025225F">
        <w:t>whether a website is covered under the ADA</w:t>
      </w:r>
      <w:r w:rsidR="00991F47">
        <w:t xml:space="preserve"> (either as a public accommodati</w:t>
      </w:r>
      <w:r w:rsidR="005267C3">
        <w:t>o</w:t>
      </w:r>
      <w:r w:rsidR="00991F47">
        <w:t>n itself, or as benefit, service, or communication of a public accommodation)</w:t>
      </w:r>
      <w:r w:rsidR="00DD3DAB">
        <w:t>; 2)</w:t>
      </w:r>
      <w:r w:rsidR="00547699">
        <w:t xml:space="preserve"> whether advancement of </w:t>
      </w:r>
      <w:r w:rsidR="00EF52E4">
        <w:t xml:space="preserve">claims absent </w:t>
      </w:r>
      <w:r w:rsidR="00565D0C">
        <w:t>p</w:t>
      </w:r>
      <w:r w:rsidR="00EF52E4">
        <w:t>r</w:t>
      </w:r>
      <w:r w:rsidR="00565D0C">
        <w:t>o</w:t>
      </w:r>
      <w:r w:rsidR="00EF52E4">
        <w:t>mulgation of</w:t>
      </w:r>
      <w:r w:rsidR="00547699">
        <w:t xml:space="preserve"> specific regulations and/or</w:t>
      </w:r>
      <w:r w:rsidR="00565D0C">
        <w:t xml:space="preserve"> adoption of standards </w:t>
      </w:r>
      <w:r w:rsidR="00EF52E4">
        <w:t>t</w:t>
      </w:r>
      <w:r w:rsidR="00565D0C">
        <w:t>o</w:t>
      </w:r>
      <w:r w:rsidR="00EF52E4">
        <w:t xml:space="preserve"> address website or digital accessibility violates cons</w:t>
      </w:r>
      <w:r w:rsidR="00E6698B">
        <w:t>t</w:t>
      </w:r>
      <w:r w:rsidR="00EF52E4">
        <w:t xml:space="preserve">itutional due process; </w:t>
      </w:r>
      <w:r w:rsidR="00E6698B">
        <w:t xml:space="preserve">and </w:t>
      </w:r>
      <w:r w:rsidR="00EF52E4">
        <w:t xml:space="preserve">3) whether </w:t>
      </w:r>
      <w:r w:rsidR="00565D0C">
        <w:t xml:space="preserve">such cases should be deferred under the primary jurisdiction doctrine, pending </w:t>
      </w:r>
      <w:r w:rsidR="00F13548">
        <w:t>issuance of regulations by the enforcing agency.</w:t>
      </w:r>
      <w:r>
        <w:t xml:space="preserve">  </w:t>
      </w:r>
    </w:p>
    <w:p w14:paraId="2CD8B276" w14:textId="77777777" w:rsidR="00687BD4" w:rsidRDefault="00F54BE0" w:rsidP="00737C53">
      <w:pPr>
        <w:pStyle w:val="BodyTextFirstIndent"/>
        <w:jc w:val="left"/>
      </w:pPr>
      <w:r>
        <w:t xml:space="preserve">The first issue – whether a website is covered under the ADA – </w:t>
      </w:r>
      <w:r w:rsidR="00E6698B">
        <w:t>has been addressed primarily</w:t>
      </w:r>
      <w:r>
        <w:t xml:space="preserve"> in litigation under Title III of the ADA, which covers </w:t>
      </w:r>
      <w:r>
        <w:rPr>
          <w:i/>
        </w:rPr>
        <w:t>places</w:t>
      </w:r>
      <w:r>
        <w:t xml:space="preserve"> of public accommodation.  </w:t>
      </w:r>
      <w:r w:rsidR="00B51FBC" w:rsidRPr="00730076">
        <w:rPr>
          <w:i/>
        </w:rPr>
        <w:t>See</w:t>
      </w:r>
      <w:r w:rsidR="00D714F4">
        <w:t xml:space="preserve"> 42 U.S.</w:t>
      </w:r>
      <w:r w:rsidR="00B51FBC">
        <w:t xml:space="preserve">C. § 12182(a). </w:t>
      </w:r>
      <w:r>
        <w:t>Among the federal district courts that have addressed whether claims involving websites may be brought under Title III</w:t>
      </w:r>
      <w:r>
        <w:t xml:space="preserve"> of the ADA, </w:t>
      </w:r>
      <w:r w:rsidR="00D714F4">
        <w:t>many</w:t>
      </w:r>
      <w:r>
        <w:t xml:space="preserve"> have held either that such claims are covered where the website has a “nexus” to a physical place of public acc</w:t>
      </w:r>
      <w:r w:rsidR="00E6698B">
        <w:t>ommodation, or that Title III i</w:t>
      </w:r>
      <w:r>
        <w:t xml:space="preserve">s not restricted to physical places, but also </w:t>
      </w:r>
      <w:r w:rsidR="008002D1">
        <w:t>encompasses</w:t>
      </w:r>
      <w:r>
        <w:t xml:space="preserve"> </w:t>
      </w:r>
      <w:r w:rsidR="00E6698B">
        <w:t>the websites of entities that operate solely online and whose operations</w:t>
      </w:r>
      <w:r>
        <w:t xml:space="preserve"> fit within one of the twelve enumerated categories of places of public accommodation.  </w:t>
      </w:r>
      <w:r w:rsidR="00D714F4">
        <w:rPr>
          <w:i/>
        </w:rPr>
        <w:t xml:space="preserve">See Gil v. Winn-Dixie Stores, Inc., </w:t>
      </w:r>
      <w:r w:rsidR="00D714F4">
        <w:t>257 F. Supp. 3d</w:t>
      </w:r>
      <w:r w:rsidR="00D714F4" w:rsidRPr="00D714F4">
        <w:t xml:space="preserve"> 1340 (S.D. Fla. 2017)</w:t>
      </w:r>
      <w:r w:rsidR="00D714F4">
        <w:t xml:space="preserve"> (website </w:t>
      </w:r>
      <w:r w:rsidR="00D714F4" w:rsidRPr="00D714F4">
        <w:t>“is heavily integrated with [] physical store locations and operates as a gateway to physical store locations</w:t>
      </w:r>
      <w:r w:rsidR="00D714F4">
        <w:t xml:space="preserve">”); </w:t>
      </w:r>
      <w:r w:rsidR="00641B8A" w:rsidRPr="00641B8A">
        <w:rPr>
          <w:i/>
          <w:iCs/>
        </w:rPr>
        <w:t xml:space="preserve">National Federation of the </w:t>
      </w:r>
      <w:r w:rsidR="00641B8A" w:rsidRPr="00641B8A">
        <w:rPr>
          <w:i/>
          <w:iCs/>
        </w:rPr>
        <w:lastRenderedPageBreak/>
        <w:t xml:space="preserve">Blind v. Scribd Inc., </w:t>
      </w:r>
      <w:r w:rsidR="00641B8A">
        <w:t xml:space="preserve">97 F. Supp. 3d 565 (D. Vt. </w:t>
      </w:r>
      <w:r w:rsidR="00641B8A" w:rsidRPr="00641B8A">
        <w:t>2015)</w:t>
      </w:r>
      <w:r w:rsidR="00641B8A">
        <w:t xml:space="preserve"> (online reading library covered under Title III).</w:t>
      </w:r>
      <w:r w:rsidR="00430FA7" w:rsidRPr="00D714F4">
        <w:t xml:space="preserve"> </w:t>
      </w:r>
      <w:r w:rsidR="00430FA7">
        <w:t xml:space="preserve"> </w:t>
      </w:r>
    </w:p>
    <w:p w14:paraId="2A610A84" w14:textId="285E7FDD" w:rsidR="00F80C62" w:rsidRPr="00CC6421" w:rsidRDefault="00F54BE0" w:rsidP="00737C53">
      <w:pPr>
        <w:pStyle w:val="BodyTextFirstIndent"/>
        <w:jc w:val="left"/>
      </w:pPr>
      <w:r>
        <w:t>On January 15, 2019, the U.S. Court of Appeals for the Ninth</w:t>
      </w:r>
      <w:r>
        <w:t xml:space="preserve"> Circuit held </w:t>
      </w:r>
      <w:r w:rsidR="00E44539">
        <w:t xml:space="preserve">in </w:t>
      </w:r>
      <w:r w:rsidR="00E44539">
        <w:rPr>
          <w:i/>
        </w:rPr>
        <w:t>Robles v. Domino’s Pizza</w:t>
      </w:r>
      <w:r w:rsidR="00891D11">
        <w:rPr>
          <w:i/>
        </w:rPr>
        <w:t>, LLC</w:t>
      </w:r>
      <w:r w:rsidR="00E44539">
        <w:rPr>
          <w:i/>
        </w:rPr>
        <w:t xml:space="preserve">, </w:t>
      </w:r>
      <w:r w:rsidR="00E44539" w:rsidRPr="00E44539">
        <w:t>No. 17-55504</w:t>
      </w:r>
      <w:r w:rsidR="00891D11">
        <w:t>, 2019 WL 190134</w:t>
      </w:r>
      <w:r w:rsidR="00E44539">
        <w:rPr>
          <w:i/>
        </w:rPr>
        <w:t xml:space="preserve"> </w:t>
      </w:r>
      <w:r w:rsidR="00E44539">
        <w:t>(9</w:t>
      </w:r>
      <w:r w:rsidR="00E44539" w:rsidRPr="00E44539">
        <w:rPr>
          <w:vertAlign w:val="superscript"/>
        </w:rPr>
        <w:t>th</w:t>
      </w:r>
      <w:r w:rsidR="00E44539">
        <w:t xml:space="preserve"> Cir.), </w:t>
      </w:r>
      <w:r>
        <w:t xml:space="preserve">that Title III of the ADA applies to </w:t>
      </w:r>
      <w:r w:rsidR="00E44539">
        <w:t xml:space="preserve">defendant’s website and mobile app </w:t>
      </w:r>
      <w:r w:rsidR="009F488D">
        <w:t>on the grounds that their alleged inaccessibility impedes access to the goods and services of defendant’s physical restaurants</w:t>
      </w:r>
      <w:r w:rsidR="00753C6F">
        <w:t>, as they are two of the primary means of ordering products from the restaurant</w:t>
      </w:r>
      <w:r w:rsidR="009F488D">
        <w:t xml:space="preserve">.  </w:t>
      </w:r>
      <w:r w:rsidR="00753C6F">
        <w:t>(</w:t>
      </w:r>
      <w:r w:rsidR="009F488D">
        <w:t>The Ninth Circuit expressed no opinion as to whether Title III</w:t>
      </w:r>
      <w:r w:rsidR="00753C6F">
        <w:t xml:space="preserve"> extends to websites or mobile apps of physical places of public accommodation where their alleged </w:t>
      </w:r>
      <w:r w:rsidR="00F70589">
        <w:t xml:space="preserve">inaccessibility </w:t>
      </w:r>
      <w:r w:rsidR="00753C6F">
        <w:t>does not impede access to the goods or services of a physical location, or to websites or mobile apps having no nexus to a physical place of public accommodation</w:t>
      </w:r>
      <w:r w:rsidR="0051795F">
        <w:t>.)</w:t>
      </w:r>
      <w:r w:rsidR="00E44539">
        <w:t xml:space="preserve"> </w:t>
      </w:r>
      <w:r w:rsidR="0051795F">
        <w:t xml:space="preserve"> The U.S. Court</w:t>
      </w:r>
      <w:r w:rsidR="004C70AC">
        <w:t xml:space="preserve"> of Appeals for the </w:t>
      </w:r>
      <w:r w:rsidR="0051795F">
        <w:t>Eleventh Circuit</w:t>
      </w:r>
      <w:r w:rsidR="004C70AC">
        <w:t xml:space="preserve"> </w:t>
      </w:r>
      <w:r w:rsidR="0051795F">
        <w:t>similarly has held, in an</w:t>
      </w:r>
      <w:r w:rsidR="004C70AC">
        <w:t xml:space="preserve"> </w:t>
      </w:r>
      <w:r w:rsidR="0051795F">
        <w:t>unpublished decision,</w:t>
      </w:r>
      <w:r w:rsidR="004C70AC">
        <w:t xml:space="preserve"> that such claims are covered</w:t>
      </w:r>
      <w:r w:rsidR="009F488D">
        <w:t xml:space="preserve"> insofar as the website has a nexus to a physical place of public accommodation.</w:t>
      </w:r>
      <w:r w:rsidR="00A93D0A">
        <w:t xml:space="preserve">  </w:t>
      </w:r>
      <w:r w:rsidR="007276D9">
        <w:rPr>
          <w:i/>
        </w:rPr>
        <w:t xml:space="preserve">See </w:t>
      </w:r>
      <w:r w:rsidR="007276D9" w:rsidRPr="007276D9">
        <w:rPr>
          <w:i/>
        </w:rPr>
        <w:t>Haynes v. Dunkin’ Donuts LLC,</w:t>
      </w:r>
      <w:r w:rsidR="007276D9" w:rsidRPr="007276D9">
        <w:t xml:space="preserve"> </w:t>
      </w:r>
      <w:r w:rsidR="007276D9">
        <w:t>741</w:t>
      </w:r>
      <w:r w:rsidR="007276D9" w:rsidRPr="007276D9">
        <w:t xml:space="preserve"> F</w:t>
      </w:r>
      <w:r w:rsidR="007276D9">
        <w:t xml:space="preserve">ed. </w:t>
      </w:r>
      <w:proofErr w:type="spellStart"/>
      <w:r w:rsidR="007276D9">
        <w:t>App’x</w:t>
      </w:r>
      <w:proofErr w:type="spellEnd"/>
      <w:r w:rsidR="007276D9">
        <w:t xml:space="preserve"> 752 (</w:t>
      </w:r>
      <w:r w:rsidR="007276D9" w:rsidRPr="007276D9">
        <w:t>2018)</w:t>
      </w:r>
      <w:r w:rsidR="00430FA7">
        <w:t xml:space="preserve"> </w:t>
      </w:r>
      <w:r w:rsidR="007276D9">
        <w:t>(alleged inaccessibility of the website deni</w:t>
      </w:r>
      <w:r w:rsidR="00A767BA">
        <w:t>es access to services of the shops that are available on the website).</w:t>
      </w:r>
      <w:r w:rsidR="007276D9">
        <w:t xml:space="preserve"> </w:t>
      </w:r>
      <w:r w:rsidR="00430FA7">
        <w:t xml:space="preserve"> </w:t>
      </w:r>
      <w:r w:rsidR="000E7000">
        <w:t>The Eleventh Circuit is</w:t>
      </w:r>
      <w:r w:rsidR="0051795F">
        <w:t xml:space="preserve"> expected to issue </w:t>
      </w:r>
      <w:r w:rsidR="000E7000">
        <w:t>a published decision</w:t>
      </w:r>
      <w:r w:rsidR="0051795F">
        <w:t xml:space="preserve"> addressing this </w:t>
      </w:r>
      <w:r w:rsidR="000E7000">
        <w:t xml:space="preserve">issue in the pending case </w:t>
      </w:r>
      <w:r w:rsidR="0051795F">
        <w:rPr>
          <w:i/>
        </w:rPr>
        <w:t xml:space="preserve">Gil v. Winn-Dixie Stores, Inc., </w:t>
      </w:r>
      <w:r w:rsidR="0051795F">
        <w:t>No. 17-13467-CC (11</w:t>
      </w:r>
      <w:r w:rsidR="0051795F" w:rsidRPr="004D46A9">
        <w:rPr>
          <w:vertAlign w:val="superscript"/>
        </w:rPr>
        <w:t>th</w:t>
      </w:r>
      <w:r w:rsidR="0051795F">
        <w:t xml:space="preserve"> Cir.).</w:t>
      </w:r>
      <w:r w:rsidR="000E7000">
        <w:t xml:space="preserve">  T</w:t>
      </w:r>
      <w:r w:rsidR="006613F3">
        <w:t xml:space="preserve">he Seventh Circuit has </w:t>
      </w:r>
      <w:r w:rsidR="000E7000">
        <w:t xml:space="preserve">more expansively </w:t>
      </w:r>
      <w:r w:rsidR="007378D5">
        <w:t>stated</w:t>
      </w:r>
      <w:r w:rsidR="006613F3">
        <w:t xml:space="preserve">, in a case </w:t>
      </w:r>
      <w:r w:rsidR="00213456">
        <w:t xml:space="preserve">concerning the terms of an insurance policy, that Title III of the ADA extends to websites and facilities “in electronic space.”  </w:t>
      </w:r>
      <w:r w:rsidR="00213456" w:rsidRPr="00213456">
        <w:rPr>
          <w:i/>
        </w:rPr>
        <w:t>See</w:t>
      </w:r>
      <w:r w:rsidR="00213456">
        <w:t xml:space="preserve"> </w:t>
      </w:r>
      <w:r w:rsidR="00213456">
        <w:rPr>
          <w:i/>
        </w:rPr>
        <w:t>Doe v. Mutual of Omaha</w:t>
      </w:r>
      <w:r w:rsidR="007378D5">
        <w:rPr>
          <w:i/>
        </w:rPr>
        <w:t xml:space="preserve"> Ins. Co., </w:t>
      </w:r>
      <w:r w:rsidR="007378D5" w:rsidRPr="007378D5">
        <w:t>179 F.3d 557</w:t>
      </w:r>
      <w:r w:rsidR="007378D5">
        <w:t>, 559</w:t>
      </w:r>
      <w:r w:rsidR="007378D5">
        <w:rPr>
          <w:i/>
        </w:rPr>
        <w:t xml:space="preserve"> </w:t>
      </w:r>
      <w:r w:rsidR="007378D5">
        <w:t>(7</w:t>
      </w:r>
      <w:r w:rsidR="007378D5" w:rsidRPr="007378D5">
        <w:rPr>
          <w:vertAlign w:val="superscript"/>
        </w:rPr>
        <w:t>th</w:t>
      </w:r>
      <w:r w:rsidR="007378D5">
        <w:t xml:space="preserve"> Cir. 1999).</w:t>
      </w:r>
      <w:r w:rsidR="00CC6421">
        <w:t xml:space="preserve"> </w:t>
      </w:r>
      <w:r w:rsidR="00D0489E">
        <w:t>To date, no other c</w:t>
      </w:r>
      <w:r w:rsidR="000E7000">
        <w:t xml:space="preserve">ircuits have specifically addressed whether Title III of the ADA extends to </w:t>
      </w:r>
      <w:r w:rsidR="00687BD4">
        <w:t>websites or mobile apps.</w:t>
      </w:r>
      <w:r w:rsidR="000E7000">
        <w:t xml:space="preserve"> </w:t>
      </w:r>
      <w:r w:rsidR="00CC6421">
        <w:t xml:space="preserve"> </w:t>
      </w:r>
    </w:p>
    <w:p w14:paraId="67DD3AB9" w14:textId="77777777" w:rsidR="001C6030" w:rsidRDefault="00F54BE0" w:rsidP="00B837E8">
      <w:pPr>
        <w:pStyle w:val="BodyTextFirstIndent"/>
        <w:jc w:val="left"/>
      </w:pPr>
      <w:r w:rsidRPr="00B51FBC">
        <w:t>By</w:t>
      </w:r>
      <w:r>
        <w:t xml:space="preserve"> contrast, </w:t>
      </w:r>
      <w:r w:rsidR="005D5AF1">
        <w:t xml:space="preserve">Section 504 </w:t>
      </w:r>
      <w:r w:rsidR="00894BD6">
        <w:t xml:space="preserve">of the Rehabilitation Act </w:t>
      </w:r>
      <w:r>
        <w:t xml:space="preserve">covers </w:t>
      </w:r>
      <w:r w:rsidR="00FE53EB">
        <w:t xml:space="preserve">any </w:t>
      </w:r>
      <w:r>
        <w:t>“</w:t>
      </w:r>
      <w:r w:rsidR="00FE53EB">
        <w:t>program or activity</w:t>
      </w:r>
      <w:r>
        <w:t xml:space="preserve">” </w:t>
      </w:r>
      <w:r w:rsidR="00987975">
        <w:t xml:space="preserve">(which is defined to include all operations of a postsecondary institution) </w:t>
      </w:r>
      <w:r>
        <w:t xml:space="preserve">receiving </w:t>
      </w:r>
      <w:r w:rsidR="00FE53EB">
        <w:t xml:space="preserve">federal financial </w:t>
      </w:r>
      <w:r w:rsidR="00730076">
        <w:t>assistance</w:t>
      </w:r>
      <w:r w:rsidR="006613F3">
        <w:t>.</w:t>
      </w:r>
      <w:r>
        <w:t xml:space="preserve"> </w:t>
      </w:r>
      <w:r w:rsidR="006613F3">
        <w:t xml:space="preserve">29 U.S.C. § 794(a)-(b).  </w:t>
      </w:r>
      <w:r w:rsidR="005D5AF1">
        <w:t xml:space="preserve">Title II of the ADA </w:t>
      </w:r>
      <w:r>
        <w:t>covers “servic</w:t>
      </w:r>
      <w:r w:rsidR="00987975">
        <w:t>e</w:t>
      </w:r>
      <w:r>
        <w:t>s, programs or activities” of any public entity.</w:t>
      </w:r>
      <w:r w:rsidR="00987975">
        <w:t xml:space="preserve">  </w:t>
      </w:r>
      <w:r w:rsidR="00B51FBC">
        <w:t>42 U.S.C. §</w:t>
      </w:r>
      <w:r w:rsidR="00730076">
        <w:t xml:space="preserve"> 12132.  As </w:t>
      </w:r>
      <w:proofErr w:type="gramStart"/>
      <w:r w:rsidR="00B16C0A">
        <w:t>the vast majority of</w:t>
      </w:r>
      <w:proofErr w:type="gramEnd"/>
      <w:r w:rsidR="00730076">
        <w:t xml:space="preserve"> </w:t>
      </w:r>
      <w:r w:rsidR="00B16C0A">
        <w:t>postsecondary</w:t>
      </w:r>
      <w:r w:rsidR="00730076">
        <w:t xml:space="preserve"> </w:t>
      </w:r>
      <w:r w:rsidR="006613F3">
        <w:t>institutions</w:t>
      </w:r>
      <w:r w:rsidR="00730076">
        <w:t xml:space="preserve"> receive </w:t>
      </w:r>
      <w:r w:rsidR="008E507C">
        <w:t xml:space="preserve">some form of </w:t>
      </w:r>
      <w:r w:rsidR="00730076">
        <w:t xml:space="preserve">federal financial assistance </w:t>
      </w:r>
      <w:r w:rsidR="00D058F3">
        <w:t xml:space="preserve">and publicly owned </w:t>
      </w:r>
      <w:r w:rsidR="006613F3">
        <w:t>institutions</w:t>
      </w:r>
      <w:r w:rsidR="00D058F3">
        <w:t xml:space="preserve"> are covered under Title II, </w:t>
      </w:r>
      <w:r>
        <w:t xml:space="preserve">postsecondary </w:t>
      </w:r>
      <w:r w:rsidR="006613F3">
        <w:t>institutions</w:t>
      </w:r>
      <w:r>
        <w:t xml:space="preserve"> are </w:t>
      </w:r>
      <w:r w:rsidR="006613F3">
        <w:t>vulnerable</w:t>
      </w:r>
      <w:r>
        <w:t xml:space="preserve"> to potential claims irrespective of whether Title III of the ADA encompasses websites</w:t>
      </w:r>
      <w:r w:rsidR="00333F89">
        <w:t>.</w:t>
      </w:r>
    </w:p>
    <w:p w14:paraId="2D22C411" w14:textId="0E3D52AD" w:rsidR="00A9794C" w:rsidRDefault="00F54BE0" w:rsidP="00B837E8">
      <w:pPr>
        <w:pStyle w:val="BodyTextFirstIndent"/>
        <w:jc w:val="left"/>
      </w:pPr>
      <w:r>
        <w:t xml:space="preserve">The issues of </w:t>
      </w:r>
      <w:r w:rsidR="002C7223">
        <w:t>due process and the primary jurisdiction doctrine have yield mixed results in the</w:t>
      </w:r>
      <w:r>
        <w:t xml:space="preserve"> district </w:t>
      </w:r>
      <w:proofErr w:type="gramStart"/>
      <w:r>
        <w:t>courts</w:t>
      </w:r>
      <w:r w:rsidR="00C67AFF">
        <w:t>, and</w:t>
      </w:r>
      <w:proofErr w:type="gramEnd"/>
      <w:r w:rsidR="00C67AFF">
        <w:t xml:space="preserve"> are now being addressed in the appellate courts</w:t>
      </w:r>
      <w:r w:rsidR="00687BD4">
        <w:t>.</w:t>
      </w:r>
      <w:r>
        <w:t xml:space="preserve"> </w:t>
      </w:r>
      <w:r w:rsidR="00687BD4">
        <w:t xml:space="preserve"> I</w:t>
      </w:r>
      <w:r w:rsidR="00114791">
        <w:t xml:space="preserve">n </w:t>
      </w:r>
      <w:r w:rsidR="00114791">
        <w:rPr>
          <w:i/>
        </w:rPr>
        <w:t>Robles v. Domino’s Pizza, LLC,</w:t>
      </w:r>
      <w:r w:rsidR="00114791">
        <w:t xml:space="preserve"> </w:t>
      </w:r>
      <w:r w:rsidR="004A7793">
        <w:t xml:space="preserve">the Ninth Circuit </w:t>
      </w:r>
      <w:r w:rsidR="00165486">
        <w:t xml:space="preserve">rejected the argument that imposing liability in the absence of regulations or adopted standards specifically addressing accessibility of websites or mobile apps violates constitutional due process.  The Ninth Circuit reasoned that </w:t>
      </w:r>
      <w:r w:rsidR="00761B21">
        <w:t xml:space="preserve">the lack of specific regulations cannot eliminate a statutory obligation, </w:t>
      </w:r>
      <w:r w:rsidR="00962D26">
        <w:t xml:space="preserve">and that the ADA’s statutory provisions at issue – “auxiliary aids and services” and “full and equal enjoyment” – are flexible, but not ambiguous or unconstitutionally vague.  </w:t>
      </w:r>
      <w:r w:rsidR="00B50C37">
        <w:t xml:space="preserve">The Ninth Circuit noted that entities have been on notice since at least 1996 that their online offerings must effectively communicate with </w:t>
      </w:r>
      <w:r w:rsidR="00C67AFF">
        <w:t xml:space="preserve">their disabled customers.  The Ninth Circuit similarly rejected </w:t>
      </w:r>
      <w:r w:rsidR="00D645A8">
        <w:t xml:space="preserve">application of the due process doctrine, based on the fact DOJ is aware </w:t>
      </w:r>
      <w:r w:rsidR="00117D99">
        <w:t>of the issue but has nonetheless withdrawn its Advance Notice of Proposed Rulemaking, deferring the matter pending DOJ’s reopening and completion of a rulemaking would result in undue delay, and application of the ADA to the facts of the case are well within the court’s competence.</w:t>
      </w:r>
      <w:r w:rsidR="00D645A8">
        <w:t xml:space="preserve"> </w:t>
      </w:r>
      <w:r w:rsidR="00117D99">
        <w:t xml:space="preserve"> </w:t>
      </w:r>
      <w:r w:rsidR="00687BD4">
        <w:t>These issues also</w:t>
      </w:r>
      <w:r w:rsidR="00114791">
        <w:t xml:space="preserve"> </w:t>
      </w:r>
      <w:r w:rsidR="00687BD4">
        <w:t xml:space="preserve">are currently pending before the </w:t>
      </w:r>
      <w:r w:rsidR="00114791">
        <w:t xml:space="preserve">Eleventh Circuit in </w:t>
      </w:r>
      <w:r>
        <w:rPr>
          <w:i/>
        </w:rPr>
        <w:t>Gil v. Winn-Dixie Stores, Inc.</w:t>
      </w:r>
      <w:r w:rsidR="00114791">
        <w:t xml:space="preserve">  </w:t>
      </w:r>
      <w:r w:rsidR="00B90CB2">
        <w:t xml:space="preserve">The oral argument in </w:t>
      </w:r>
      <w:r w:rsidR="00FB16F6" w:rsidRPr="00FB16F6">
        <w:t>this case,</w:t>
      </w:r>
      <w:r w:rsidR="004A7793">
        <w:rPr>
          <w:i/>
        </w:rPr>
        <w:t xml:space="preserve"> </w:t>
      </w:r>
      <w:r w:rsidR="004A7793">
        <w:t xml:space="preserve">which was </w:t>
      </w:r>
      <w:r w:rsidR="004A7793" w:rsidRPr="004A7793">
        <w:t>held in October 2018,</w:t>
      </w:r>
      <w:r w:rsidR="00E34B27">
        <w:t xml:space="preserve"> involved extensive focus </w:t>
      </w:r>
      <w:r>
        <w:t xml:space="preserve">from the court </w:t>
      </w:r>
      <w:r w:rsidR="00E34B27">
        <w:t xml:space="preserve">on the absence of regulations, the fact </w:t>
      </w:r>
      <w:r w:rsidR="00E34B27">
        <w:lastRenderedPageBreak/>
        <w:t>that WCAG 2.0 is subject to change</w:t>
      </w:r>
      <w:r w:rsidR="00867C32">
        <w:t xml:space="preserve"> (as evidenced by the issuance of WCAG 2.1)</w:t>
      </w:r>
      <w:r w:rsidR="00E34B27">
        <w:t xml:space="preserve">, and the fact that full compliance with WCAG 2.0 may </w:t>
      </w:r>
      <w:r>
        <w:t>not be possible</w:t>
      </w:r>
      <w:r w:rsidR="00B90CB2">
        <w:t xml:space="preserve">.  </w:t>
      </w:r>
      <w:r w:rsidR="004A7793">
        <w:t>A decision is anticipated in 2019.</w:t>
      </w:r>
      <w:r w:rsidR="00B90CB2">
        <w:t xml:space="preserve"> </w:t>
      </w:r>
      <w:r w:rsidR="006E20E6">
        <w:t xml:space="preserve"> </w:t>
      </w:r>
    </w:p>
    <w:p w14:paraId="29C8997E" w14:textId="77777777" w:rsidR="008C45A7" w:rsidRDefault="00F54BE0" w:rsidP="00B837E8">
      <w:pPr>
        <w:pStyle w:val="BodyTextFirstIndent"/>
        <w:jc w:val="left"/>
      </w:pPr>
      <w:r>
        <w:t>O</w:t>
      </w:r>
      <w:r w:rsidR="002F6010">
        <w:t>ther issue</w:t>
      </w:r>
      <w:r>
        <w:t>s</w:t>
      </w:r>
      <w:r w:rsidR="002F6010">
        <w:t xml:space="preserve"> addressed by the courts in 2018</w:t>
      </w:r>
      <w:r w:rsidR="007F18D9">
        <w:t xml:space="preserve"> </w:t>
      </w:r>
      <w:r>
        <w:t>include</w:t>
      </w:r>
      <w:r w:rsidR="007F18D9">
        <w:t xml:space="preserve"> mootness</w:t>
      </w:r>
      <w:r w:rsidR="00E30362">
        <w:t>, whe</w:t>
      </w:r>
      <w:r>
        <w:t>ther</w:t>
      </w:r>
      <w:r w:rsidR="007F18D9">
        <w:t xml:space="preserve"> based on prior resolut</w:t>
      </w:r>
      <w:r w:rsidR="00640EED">
        <w:t xml:space="preserve">ion of claims and/or modification of the </w:t>
      </w:r>
      <w:proofErr w:type="gramStart"/>
      <w:r w:rsidR="00640EED">
        <w:t>website</w:t>
      </w:r>
      <w:r>
        <w:t>, and</w:t>
      </w:r>
      <w:proofErr w:type="gramEnd"/>
      <w:r>
        <w:t xml:space="preserve"> standing</w:t>
      </w:r>
      <w:r w:rsidR="007F18D9">
        <w:t xml:space="preserve">. </w:t>
      </w:r>
      <w:r w:rsidR="006F0677">
        <w:t>(“Mootness” occurs when there is no longer a “live” dispute for a court to resolve due to a change in the law or other change in circumstance</w:t>
      </w:r>
      <w:r w:rsidR="00EA2A83">
        <w:t xml:space="preserve"> that eliminates the dispute.)  </w:t>
      </w:r>
      <w:r w:rsidR="00016960">
        <w:t xml:space="preserve">In </w:t>
      </w:r>
      <w:r w:rsidR="00016960" w:rsidRPr="00016960">
        <w:rPr>
          <w:i/>
          <w:iCs/>
        </w:rPr>
        <w:t xml:space="preserve">Haynes v. Hooters of America, LLC, </w:t>
      </w:r>
      <w:r w:rsidR="00016960" w:rsidRPr="00016960">
        <w:t>893 F.3d 781 (11</w:t>
      </w:r>
      <w:r w:rsidR="00016960" w:rsidRPr="00016960">
        <w:rPr>
          <w:vertAlign w:val="superscript"/>
        </w:rPr>
        <w:t>th</w:t>
      </w:r>
      <w:r w:rsidR="00016960" w:rsidRPr="00016960">
        <w:t xml:space="preserve"> Cir. 2018)</w:t>
      </w:r>
      <w:r w:rsidR="00016960">
        <w:t xml:space="preserve">, the Eleventh Circuit rejected the argument that the defendant’s prior settlement agreement with </w:t>
      </w:r>
      <w:r w:rsidR="00640EED">
        <w:t xml:space="preserve">a different claimant, in which defendant agreed to modify its website in accordance with </w:t>
      </w:r>
      <w:r w:rsidR="00F361C3">
        <w:t>WCAG 2.0 A, mooted the subsequent claim</w:t>
      </w:r>
      <w:r w:rsidR="00640EED">
        <w:t>.</w:t>
      </w:r>
      <w:r w:rsidR="00333F89">
        <w:t xml:space="preserve">  </w:t>
      </w:r>
      <w:r w:rsidR="00F361C3">
        <w:t xml:space="preserve">The Eleventh Circuit noted that the record </w:t>
      </w:r>
      <w:r w:rsidR="00F361C3" w:rsidRPr="00F361C3">
        <w:t xml:space="preserve">did not </w:t>
      </w:r>
      <w:r w:rsidR="00F361C3">
        <w:t xml:space="preserve">indicate whether the </w:t>
      </w:r>
      <w:r w:rsidR="00F361C3" w:rsidRPr="00F361C3">
        <w:t>website had been successfully remediate</w:t>
      </w:r>
      <w:r w:rsidR="00F361C3">
        <w:t xml:space="preserve">d, </w:t>
      </w:r>
      <w:r w:rsidR="00E30362">
        <w:t xml:space="preserve">that the </w:t>
      </w:r>
      <w:r w:rsidR="00F361C3">
        <w:t xml:space="preserve">relief </w:t>
      </w:r>
      <w:r w:rsidR="00E30362">
        <w:t>sought (</w:t>
      </w:r>
      <w:r w:rsidR="00F361C3">
        <w:t>that the website’s accessibility be “continually updated and maintained”</w:t>
      </w:r>
      <w:r w:rsidR="00E30362">
        <w:t>)</w:t>
      </w:r>
      <w:r w:rsidR="00F361C3">
        <w:t xml:space="preserve"> remained a live issue, and that </w:t>
      </w:r>
      <w:r w:rsidR="00894BD6">
        <w:t xml:space="preserve">the current </w:t>
      </w:r>
      <w:r w:rsidR="00F361C3">
        <w:t xml:space="preserve">plaintiff was not a party to the prior agreement.  </w:t>
      </w:r>
      <w:r w:rsidR="00E30362">
        <w:t xml:space="preserve">The fact that websites and their content may frequently change also has led to disputes as to whether </w:t>
      </w:r>
      <w:r w:rsidR="00D726BB">
        <w:t xml:space="preserve">actual </w:t>
      </w:r>
      <w:r w:rsidR="00E30362">
        <w:t xml:space="preserve">remediation of a website moots a claim.  In </w:t>
      </w:r>
      <w:r w:rsidR="00E30362" w:rsidRPr="006E20E6">
        <w:rPr>
          <w:i/>
          <w:iCs/>
        </w:rPr>
        <w:t xml:space="preserve">Carroll v. New People’s Bank, Inc., </w:t>
      </w:r>
      <w:r w:rsidR="00E30362" w:rsidRPr="006E20E6">
        <w:t>2018</w:t>
      </w:r>
      <w:r w:rsidR="00E30362">
        <w:t xml:space="preserve"> WL 1659482, No. 1:17-cv-00044 </w:t>
      </w:r>
      <w:r w:rsidR="00E30362" w:rsidRPr="006E20E6">
        <w:t>(W.D. Va. Apr. 5, 2018</w:t>
      </w:r>
      <w:r w:rsidR="00E30362">
        <w:t xml:space="preserve">), the court concluded it did, </w:t>
      </w:r>
      <w:r w:rsidR="00894BD6">
        <w:t xml:space="preserve">reasoning that the defendant would not likely return to a less accessible website after having </w:t>
      </w:r>
      <w:r w:rsidR="00E30362">
        <w:t xml:space="preserve">“substantially expanded” the accessibility of its website, </w:t>
      </w:r>
      <w:r w:rsidR="00B11774">
        <w:t xml:space="preserve">which the court determined </w:t>
      </w:r>
      <w:r w:rsidR="00E30362">
        <w:t>was “not a minor undertaking</w:t>
      </w:r>
      <w:r w:rsidR="00B11774">
        <w:t>.</w:t>
      </w:r>
      <w:r w:rsidR="00E30362">
        <w:t xml:space="preserve">” By contrast, the court in </w:t>
      </w:r>
      <w:r w:rsidR="00D726BB">
        <w:rPr>
          <w:i/>
          <w:iCs/>
        </w:rPr>
        <w:t>Nationa</w:t>
      </w:r>
      <w:r w:rsidR="00E30362" w:rsidRPr="00794F2C">
        <w:rPr>
          <w:i/>
          <w:iCs/>
        </w:rPr>
        <w:t xml:space="preserve">l Federation of the Blind v. Target, </w:t>
      </w:r>
      <w:r w:rsidR="00E30362" w:rsidRPr="00794F2C">
        <w:t>582 F. Supp. 2d 1185 (N.D. Cal. 2007</w:t>
      </w:r>
      <w:r w:rsidR="00E30362">
        <w:t>), noted that the ongoing addition o</w:t>
      </w:r>
      <w:r w:rsidR="00EF53B6">
        <w:t>f new web pages argued against</w:t>
      </w:r>
      <w:r w:rsidR="00E30362">
        <w:t xml:space="preserve"> finding the claim moot.</w:t>
      </w:r>
    </w:p>
    <w:p w14:paraId="0FB53E09" w14:textId="14141CB6" w:rsidR="001C6030" w:rsidRDefault="00F54BE0" w:rsidP="00B837E8">
      <w:pPr>
        <w:pStyle w:val="BodyTextFirstIndent"/>
        <w:jc w:val="left"/>
      </w:pPr>
      <w:r>
        <w:t xml:space="preserve">  </w:t>
      </w:r>
      <w:r w:rsidR="00DA366A">
        <w:t xml:space="preserve">Courts also </w:t>
      </w:r>
      <w:r w:rsidR="00EB4EE9">
        <w:t xml:space="preserve">have </w:t>
      </w:r>
      <w:r w:rsidR="00DA366A">
        <w:t xml:space="preserve">closely scrutinized whether individual plaintiffs have standing to bring claims </w:t>
      </w:r>
      <w:r w:rsidR="002E04ED">
        <w:t>regarding</w:t>
      </w:r>
      <w:r w:rsidR="00DA366A">
        <w:t xml:space="preserve"> the accessibility of a website.  Cases have been dismissed for lack of standing where the plaintiff did not allege any specific intent to use </w:t>
      </w:r>
      <w:r w:rsidR="008158A8">
        <w:t>the website or the defendant’s physical facilities</w:t>
      </w:r>
      <w:r w:rsidR="00EF53B6">
        <w:t xml:space="preserve"> in the future</w:t>
      </w:r>
      <w:r w:rsidR="008158A8">
        <w:t xml:space="preserve">.  </w:t>
      </w:r>
      <w:r w:rsidR="00DA366A">
        <w:t xml:space="preserve">In </w:t>
      </w:r>
      <w:r w:rsidR="00DA366A" w:rsidRPr="00DA366A">
        <w:rPr>
          <w:i/>
          <w:iCs/>
        </w:rPr>
        <w:t xml:space="preserve">Price v. Celebration Golf Co., LLC, </w:t>
      </w:r>
      <w:r w:rsidR="00DA366A" w:rsidRPr="00DA366A">
        <w:t>2018 WL 3056077, No. 6:18-cv-429-Orl (M.D. Fla. June 20, 2018</w:t>
      </w:r>
      <w:r w:rsidR="00DA366A">
        <w:t xml:space="preserve">), the </w:t>
      </w:r>
      <w:r w:rsidR="008158A8">
        <w:t xml:space="preserve">case was dismissed (without prejudice) where </w:t>
      </w:r>
      <w:r w:rsidR="00B11774">
        <w:t xml:space="preserve">the </w:t>
      </w:r>
      <w:r w:rsidR="008158A8">
        <w:t xml:space="preserve">plaintiff did not indicate any specific intent to use </w:t>
      </w:r>
      <w:r w:rsidR="00B11774">
        <w:t xml:space="preserve">the </w:t>
      </w:r>
      <w:r w:rsidR="008158A8">
        <w:t xml:space="preserve">defendant’s golf course and provided only a vague description of how the allegedly inaccessible website impeded use of the golf course.  In </w:t>
      </w:r>
      <w:r w:rsidR="008158A8" w:rsidRPr="008158A8">
        <w:rPr>
          <w:i/>
          <w:iCs/>
        </w:rPr>
        <w:t xml:space="preserve">Carroll v. New People’s Bank, Inc., </w:t>
      </w:r>
      <w:r w:rsidR="008158A8" w:rsidRPr="008158A8">
        <w:t>2018 WL 1659482, No. 1:17-cv-00044 (W.D. Va. Apr. 5, 2018</w:t>
      </w:r>
      <w:r w:rsidR="008158A8">
        <w:t xml:space="preserve">), the court held that a plaintiff who lived nearly 300 miles from </w:t>
      </w:r>
      <w:r w:rsidR="00B11774">
        <w:t xml:space="preserve">the </w:t>
      </w:r>
      <w:r w:rsidR="008158A8">
        <w:t xml:space="preserve">defendant’s closest bank branch lacked standing because he </w:t>
      </w:r>
      <w:r w:rsidR="008158A8" w:rsidRPr="008158A8">
        <w:t xml:space="preserve">did not allege that he </w:t>
      </w:r>
      <w:proofErr w:type="gramStart"/>
      <w:r w:rsidR="008158A8" w:rsidRPr="008158A8">
        <w:t>actually uses</w:t>
      </w:r>
      <w:proofErr w:type="gramEnd"/>
      <w:r w:rsidR="008158A8" w:rsidRPr="008158A8">
        <w:t xml:space="preserve"> or plans to use the bank’s online banking or branch service</w:t>
      </w:r>
      <w:r w:rsidR="009A02B2">
        <w:t xml:space="preserve">s.  In </w:t>
      </w:r>
      <w:r w:rsidR="009A02B2" w:rsidRPr="009A02B2">
        <w:rPr>
          <w:i/>
          <w:iCs/>
        </w:rPr>
        <w:t xml:space="preserve">Thurston v. FCA US, LLC, </w:t>
      </w:r>
      <w:r w:rsidR="009A02B2" w:rsidRPr="009A02B2">
        <w:t>2018 WL 700939, No. EDCV 17–2183–JFW (C.D. Cal. Jan 26, 2018</w:t>
      </w:r>
      <w:r w:rsidR="009A02B2">
        <w:t xml:space="preserve">), the court similarly held that the plaintiff, who failed </w:t>
      </w:r>
      <w:r w:rsidR="009A02B2" w:rsidRPr="009A02B2">
        <w:t xml:space="preserve">to allege any intent to visit </w:t>
      </w:r>
      <w:r w:rsidR="00B11774">
        <w:t xml:space="preserve">the </w:t>
      </w:r>
      <w:r w:rsidR="0053469F">
        <w:t xml:space="preserve">defendant’s auto </w:t>
      </w:r>
      <w:r w:rsidR="009A02B2" w:rsidRPr="009A02B2">
        <w:t xml:space="preserve">dealership, or to return to </w:t>
      </w:r>
      <w:r w:rsidR="0053469F">
        <w:t xml:space="preserve">its </w:t>
      </w:r>
      <w:r w:rsidR="009A02B2" w:rsidRPr="009A02B2">
        <w:t>website to locate any dealerships, lacked standing</w:t>
      </w:r>
      <w:r w:rsidR="009A02B2">
        <w:t xml:space="preserve">.   </w:t>
      </w:r>
    </w:p>
    <w:p w14:paraId="371988C8" w14:textId="77777777" w:rsidR="00737C53" w:rsidRDefault="00F54BE0" w:rsidP="00B837E8">
      <w:pPr>
        <w:pStyle w:val="BodyTextFirstIndent"/>
        <w:jc w:val="left"/>
      </w:pPr>
      <w:r>
        <w:t xml:space="preserve">To date, there remain several </w:t>
      </w:r>
      <w:r w:rsidR="00EF53B6">
        <w:t xml:space="preserve">additional </w:t>
      </w:r>
      <w:r>
        <w:t>issues that have not been addressed clearly by the courts.  Among these are the following:</w:t>
      </w:r>
    </w:p>
    <w:p w14:paraId="69A12C42" w14:textId="77777777" w:rsidR="00160F6D" w:rsidRDefault="00F54BE0" w:rsidP="00160F6D">
      <w:pPr>
        <w:pStyle w:val="BodyTextFirstIndent"/>
        <w:numPr>
          <w:ilvl w:val="0"/>
          <w:numId w:val="7"/>
        </w:numPr>
        <w:jc w:val="left"/>
      </w:pPr>
      <w:r>
        <w:t>How should accessibility be measured?</w:t>
      </w:r>
      <w:r>
        <w:t xml:space="preserve">  If 100% accessibility 100% of the time is not a practical standard given the volume of content and its continuously changing nature, and some content by its nature cannot be made accessible, what degree of </w:t>
      </w:r>
      <w:r w:rsidR="00EF53B6">
        <w:t>“</w:t>
      </w:r>
      <w:r>
        <w:t>noncompliance</w:t>
      </w:r>
      <w:r w:rsidR="00EF53B6">
        <w:t xml:space="preserve">” </w:t>
      </w:r>
      <w:r>
        <w:t>establish</w:t>
      </w:r>
      <w:r w:rsidR="00EF53B6">
        <w:t>es</w:t>
      </w:r>
      <w:r>
        <w:t xml:space="preserve"> legal liability?</w:t>
      </w:r>
    </w:p>
    <w:p w14:paraId="672BC461" w14:textId="77777777" w:rsidR="00737C53" w:rsidRDefault="00F54BE0" w:rsidP="00737C53">
      <w:pPr>
        <w:pStyle w:val="BodyTextFirstIndent"/>
        <w:numPr>
          <w:ilvl w:val="0"/>
          <w:numId w:val="7"/>
        </w:numPr>
        <w:jc w:val="left"/>
      </w:pPr>
      <w:r>
        <w:t>Wha</w:t>
      </w:r>
      <w:r>
        <w:t>t alternate methods of providing access are acceptable, and under what circumstances may they be used</w:t>
      </w:r>
      <w:r w:rsidR="00EF53B6">
        <w:t xml:space="preserve"> as opposed to making a website or other technology directly accessible</w:t>
      </w:r>
      <w:r>
        <w:t xml:space="preserve">?  Is providing an alternate accessible version of a </w:t>
      </w:r>
      <w:r>
        <w:lastRenderedPageBreak/>
        <w:t xml:space="preserve">website or </w:t>
      </w:r>
      <w:proofErr w:type="gramStart"/>
      <w:r w:rsidR="002D4692">
        <w:t>particular technology</w:t>
      </w:r>
      <w:proofErr w:type="gramEnd"/>
      <w:r w:rsidR="002D4692">
        <w:t xml:space="preserve"> acceptable, and under what circumstances?  Is it acceptable if the alternate version provides some but not </w:t>
      </w:r>
      <w:proofErr w:type="gramStart"/>
      <w:r w:rsidR="002D4692">
        <w:t>all of</w:t>
      </w:r>
      <w:proofErr w:type="gramEnd"/>
      <w:r w:rsidR="002D4692">
        <w:t xml:space="preserve"> the same functionality?</w:t>
      </w:r>
    </w:p>
    <w:p w14:paraId="1519A65E" w14:textId="77777777" w:rsidR="004E58A8" w:rsidRDefault="00F54BE0" w:rsidP="004E58A8">
      <w:pPr>
        <w:pStyle w:val="BodyTextFirstIndent"/>
        <w:numPr>
          <w:ilvl w:val="0"/>
          <w:numId w:val="7"/>
        </w:numPr>
        <w:jc w:val="left"/>
      </w:pPr>
      <w:r>
        <w:t>Must all content be made accessible, or alternatively, can older “legacy” or “archived” content that may be used inf</w:t>
      </w:r>
      <w:r>
        <w:t>requently be provided in accessible format upon request</w:t>
      </w:r>
      <w:r w:rsidR="00EA2A83">
        <w:t>?</w:t>
      </w:r>
      <w:r>
        <w:t xml:space="preserve">  </w:t>
      </w:r>
      <w:r w:rsidR="00EF53B6">
        <w:t>Both DOJ and OCR have used this approach in certain settlement agreements.</w:t>
      </w:r>
    </w:p>
    <w:p w14:paraId="1410118F" w14:textId="601E6235" w:rsidR="00A450EB" w:rsidRDefault="00F54BE0" w:rsidP="00737C53">
      <w:pPr>
        <w:pStyle w:val="BodyTextFirstIndent"/>
        <w:numPr>
          <w:ilvl w:val="0"/>
          <w:numId w:val="7"/>
        </w:numPr>
        <w:jc w:val="left"/>
      </w:pPr>
      <w:r>
        <w:t xml:space="preserve">How should specific </w:t>
      </w:r>
      <w:r w:rsidR="0093199F">
        <w:t>s</w:t>
      </w:r>
      <w:r>
        <w:t xml:space="preserve">uccess </w:t>
      </w:r>
      <w:r w:rsidR="0093199F">
        <w:t>c</w:t>
      </w:r>
      <w:r>
        <w:t xml:space="preserve">riteria in WCAG 2.0 AA be interpreted?  While WCAG 2.0 AA contains </w:t>
      </w:r>
      <w:r w:rsidR="009129BE">
        <w:t>s</w:t>
      </w:r>
      <w:r>
        <w:t xml:space="preserve">uccess </w:t>
      </w:r>
      <w:r w:rsidR="00481C06">
        <w:t>c</w:t>
      </w:r>
      <w:r>
        <w:t xml:space="preserve">riteria that are intended to be objectively testable, there are subjective </w:t>
      </w:r>
      <w:r w:rsidR="00903C2A">
        <w:t>aspects to</w:t>
      </w:r>
      <w:r>
        <w:t xml:space="preserve"> its application</w:t>
      </w:r>
      <w:r w:rsidR="00903C2A">
        <w:t>.  Consultants</w:t>
      </w:r>
      <w:r>
        <w:t xml:space="preserve"> </w:t>
      </w:r>
      <w:r w:rsidR="00903C2A">
        <w:t xml:space="preserve">working </w:t>
      </w:r>
      <w:r w:rsidR="007405B2">
        <w:t>in this field</w:t>
      </w:r>
      <w:r w:rsidR="00903C2A">
        <w:t xml:space="preserve"> </w:t>
      </w:r>
      <w:r>
        <w:t xml:space="preserve">may </w:t>
      </w:r>
      <w:r w:rsidR="00903C2A">
        <w:t xml:space="preserve">(and often do) </w:t>
      </w:r>
      <w:r>
        <w:t>differ</w:t>
      </w:r>
      <w:r w:rsidR="00903C2A">
        <w:t xml:space="preserve"> in their interpretations</w:t>
      </w:r>
      <w:r>
        <w:t xml:space="preserve">.  For example, </w:t>
      </w:r>
      <w:r w:rsidR="00097D67">
        <w:t xml:space="preserve">WCAG 2.0 AA requires that </w:t>
      </w:r>
      <w:r w:rsidR="00783CF2">
        <w:t xml:space="preserve">substantive </w:t>
      </w:r>
      <w:r w:rsidR="00097D67">
        <w:t xml:space="preserve">text descriptions be provided for non-text content such as </w:t>
      </w:r>
      <w:r>
        <w:t xml:space="preserve">images, </w:t>
      </w:r>
      <w:r w:rsidR="00B11774">
        <w:t>but</w:t>
      </w:r>
      <w:r>
        <w:t xml:space="preserve"> d</w:t>
      </w:r>
      <w:r w:rsidR="00783CF2">
        <w:t xml:space="preserve">ecorative or background images are excepted.  While the </w:t>
      </w:r>
      <w:r w:rsidR="00903C2A">
        <w:t>provision of</w:t>
      </w:r>
      <w:r w:rsidR="00783CF2">
        <w:t xml:space="preserve"> a text description </w:t>
      </w:r>
      <w:r w:rsidR="00903C2A">
        <w:t>can be objectively determined</w:t>
      </w:r>
      <w:r w:rsidR="00783CF2">
        <w:t xml:space="preserve">, whether </w:t>
      </w:r>
      <w:r w:rsidR="00903C2A">
        <w:t xml:space="preserve">a </w:t>
      </w:r>
      <w:proofErr w:type="gramStart"/>
      <w:r w:rsidR="00903C2A">
        <w:t>particular image</w:t>
      </w:r>
      <w:proofErr w:type="gramEnd"/>
      <w:r w:rsidR="00903C2A">
        <w:t xml:space="preserve"> conveys meaningful information or is merely decorative can be </w:t>
      </w:r>
      <w:r>
        <w:t xml:space="preserve">a </w:t>
      </w:r>
      <w:r w:rsidR="00903C2A">
        <w:t>subjective</w:t>
      </w:r>
      <w:r>
        <w:t xml:space="preserve"> determination</w:t>
      </w:r>
      <w:r w:rsidR="00903C2A">
        <w:t>.  Similarly, the issue of whether a text description itself conveys adequate information is inherently subjective.</w:t>
      </w:r>
    </w:p>
    <w:p w14:paraId="477E5146" w14:textId="77777777" w:rsidR="002D4692" w:rsidRDefault="00F54BE0" w:rsidP="00737C53">
      <w:pPr>
        <w:pStyle w:val="BodyTextFirstIndent"/>
        <w:numPr>
          <w:ilvl w:val="0"/>
          <w:numId w:val="7"/>
        </w:numPr>
        <w:jc w:val="left"/>
      </w:pPr>
      <w:r>
        <w:t>In addition to WCAG, w</w:t>
      </w:r>
      <w:r w:rsidR="00A450EB">
        <w:t xml:space="preserve">hat other technology standards </w:t>
      </w:r>
      <w:r w:rsidR="00B2056A">
        <w:t>or guidelines might a covered entity be required to consider</w:t>
      </w:r>
      <w:r w:rsidR="00A450EB">
        <w:t>?</w:t>
      </w:r>
      <w:r w:rsidR="00B2056A">
        <w:t xml:space="preserve">  In the education context, other standards that have been incorporated into settlement agreements (including in some OCR agreements) are </w:t>
      </w:r>
      <w:bookmarkStart w:id="1" w:name="_Hlk535583100"/>
      <w:r>
        <w:rPr>
          <w:color w:val="141414"/>
        </w:rPr>
        <w:t>the</w:t>
      </w:r>
      <w:r w:rsidRPr="00631A6A">
        <w:rPr>
          <w:color w:val="141414"/>
        </w:rPr>
        <w:t xml:space="preserve"> Web Accessibility Initiative Accessible Rich Internet</w:t>
      </w:r>
      <w:r>
        <w:rPr>
          <w:color w:val="141414"/>
        </w:rPr>
        <w:t xml:space="preserve"> Applications Suite (WAI-ARIA) </w:t>
      </w:r>
      <w:r w:rsidRPr="00631A6A">
        <w:rPr>
          <w:color w:val="141414"/>
        </w:rPr>
        <w:t>for web content; W3C</w:t>
      </w:r>
      <w:r w:rsidRPr="00631A6A">
        <w:rPr>
          <w:color w:val="141414"/>
        </w:rPr>
        <w:t xml:space="preserve">’s Authoring Tool Accessibility Guidelines (ATAG) 2.0 for software used to create web content; W3C’s User Agent Accessibility Guidelines (UAAG) 1.0 for web browsers, media players, and assistive technologies; </w:t>
      </w:r>
      <w:bookmarkStart w:id="2" w:name="_Hlk535584369"/>
      <w:r w:rsidRPr="00631A6A">
        <w:rPr>
          <w:color w:val="141414"/>
        </w:rPr>
        <w:t xml:space="preserve">W3C’s Guidance on Applying WCAG 2.0 to Non-Web </w:t>
      </w:r>
      <w:r w:rsidRPr="00631A6A">
        <w:rPr>
          <w:color w:val="141414"/>
        </w:rPr>
        <w:t>Information and Communications Technologies (WCAG2ICT) for non-web software and content</w:t>
      </w:r>
      <w:bookmarkEnd w:id="2"/>
      <w:r w:rsidRPr="00631A6A">
        <w:rPr>
          <w:color w:val="141414"/>
        </w:rPr>
        <w:t>; W3C’s MathML 3.0 for digital mathematical and scientific notation; and the DAISY Consortium’s Digital Accessible Information System (DAISY) Standard or the Internation</w:t>
      </w:r>
      <w:r w:rsidRPr="00631A6A">
        <w:rPr>
          <w:color w:val="141414"/>
        </w:rPr>
        <w:t>al Digital Publishing Forum’s (IDPF) EPUB 3 specification for digital publications and documents.</w:t>
      </w:r>
      <w:r>
        <w:rPr>
          <w:color w:val="141414"/>
        </w:rPr>
        <w:t xml:space="preserve">  W3C’s working draft “Mobile Accessibility: How WCAG 2.0 and Other W3C/WAI Guidelines Apply to Mobile,” dated Feb. 26, 2015</w:t>
      </w:r>
      <w:bookmarkEnd w:id="1"/>
      <w:r>
        <w:rPr>
          <w:color w:val="141414"/>
        </w:rPr>
        <w:t>, also has been relied upon by plai</w:t>
      </w:r>
      <w:r>
        <w:rPr>
          <w:color w:val="141414"/>
        </w:rPr>
        <w:t>ntiffs with respect to mobile content and mobile apps.</w:t>
      </w:r>
    </w:p>
    <w:p w14:paraId="5400B85B" w14:textId="77777777" w:rsidR="00903221" w:rsidRPr="0071605E" w:rsidRDefault="00F54BE0" w:rsidP="00A76F1D">
      <w:pPr>
        <w:pStyle w:val="Heading1"/>
        <w:spacing w:before="240" w:after="240"/>
        <w:contextualSpacing w:val="0"/>
      </w:pPr>
      <w:r w:rsidRPr="0071605E">
        <w:t>WCAG 2.1</w:t>
      </w:r>
    </w:p>
    <w:p w14:paraId="3AAD514D" w14:textId="1BA2A0A7" w:rsidR="00D43925" w:rsidRDefault="00F54BE0" w:rsidP="00D43925">
      <w:pPr>
        <w:pStyle w:val="BodyTextFirstIndent"/>
        <w:jc w:val="left"/>
      </w:pPr>
      <w:r>
        <w:t xml:space="preserve">W3C’s issuance of WCAG 2.1 in June 2018 has </w:t>
      </w:r>
      <w:r w:rsidR="001C7F63">
        <w:t xml:space="preserve">covered entities </w:t>
      </w:r>
      <w:r w:rsidR="00867C32">
        <w:t>questioning</w:t>
      </w:r>
      <w:r>
        <w:t xml:space="preserve"> what </w:t>
      </w:r>
      <w:r w:rsidR="007405B2">
        <w:t>technical guidelines or standards</w:t>
      </w:r>
      <w:r>
        <w:t xml:space="preserve"> an entity </w:t>
      </w:r>
      <w:r w:rsidR="00867C32">
        <w:t>should</w:t>
      </w:r>
      <w:r w:rsidR="007405B2">
        <w:t xml:space="preserve"> rely upon to define and provide accessibility in the digital realm</w:t>
      </w:r>
      <w:r w:rsidR="00B846B7">
        <w:t>.</w:t>
      </w:r>
      <w:r w:rsidR="007405B2">
        <w:t xml:space="preserve">  </w:t>
      </w:r>
      <w:r>
        <w:t xml:space="preserve">WCAG 2.1 retains WCAG 2.0 in its </w:t>
      </w:r>
      <w:proofErr w:type="gramStart"/>
      <w:r>
        <w:t>entirety, but</w:t>
      </w:r>
      <w:proofErr w:type="gramEnd"/>
      <w:r>
        <w:t xml:space="preserve"> adds 17 additional success criteria. The new success criteria are intended to address viewing of content on mobile devices as well as provi</w:t>
      </w:r>
      <w:r>
        <w:t xml:space="preserve">de additional success criteria to improve the experience of individuals with “low vision” and cognitive impairments.  Of the new success criteria, 5 are Level A, 7 are Level AA, and 5 are Level AAA.  W3C’s overview of these additional success criteria can </w:t>
      </w:r>
      <w:r>
        <w:t xml:space="preserve">be accessed at </w:t>
      </w:r>
      <w:hyperlink r:id="rId20" w:history="1">
        <w:r w:rsidR="009632A0" w:rsidRPr="0074429D">
          <w:rPr>
            <w:rStyle w:val="Hyperlink"/>
          </w:rPr>
          <w:t>https://www.w3.org/WAI/standards-guidelines/wcag/new-in-21/</w:t>
        </w:r>
      </w:hyperlink>
      <w:r>
        <w:t xml:space="preserve">.  The full WCAG 2.1, </w:t>
      </w:r>
      <w:r>
        <w:lastRenderedPageBreak/>
        <w:t xml:space="preserve">incorporating the WCAG 2.0 requirements and containing embedded links to additional technical guidance material, is available at </w:t>
      </w:r>
      <w:bookmarkStart w:id="3" w:name="_Hlk534983787"/>
      <w:r w:rsidR="009632A0">
        <w:fldChar w:fldCharType="begin"/>
      </w:r>
      <w:r w:rsidR="009632A0">
        <w:instrText xml:space="preserve"> HYPERLINK "</w:instrText>
      </w:r>
      <w:r w:rsidR="009632A0" w:rsidRPr="009479F6">
        <w:instrText>https://www.w3.org/TR/WCAG21/</w:instrText>
      </w:r>
      <w:r w:rsidR="009632A0">
        <w:instrText xml:space="preserve">" </w:instrText>
      </w:r>
      <w:r w:rsidR="009632A0">
        <w:fldChar w:fldCharType="separate"/>
      </w:r>
      <w:r w:rsidR="009632A0" w:rsidRPr="0074429D">
        <w:rPr>
          <w:rStyle w:val="Hyperlink"/>
        </w:rPr>
        <w:t>https://www.w3.org/TR/WCAG21/</w:t>
      </w:r>
      <w:bookmarkEnd w:id="3"/>
      <w:r w:rsidR="009632A0">
        <w:fldChar w:fldCharType="end"/>
      </w:r>
      <w:r>
        <w:t xml:space="preserve">. </w:t>
      </w:r>
      <w:r>
        <w:t xml:space="preserve"> WCAG 2.0 as issued in December 2008 is available at </w:t>
      </w:r>
      <w:hyperlink r:id="rId21" w:history="1">
        <w:r w:rsidR="009632A0" w:rsidRPr="0074429D">
          <w:rPr>
            <w:rStyle w:val="Hyperlink"/>
          </w:rPr>
          <w:t>https://www.w3.org/TR/WCAG20/</w:t>
        </w:r>
      </w:hyperlink>
      <w:r>
        <w:t xml:space="preserve">.  </w:t>
      </w:r>
    </w:p>
    <w:p w14:paraId="2614D370" w14:textId="77777777" w:rsidR="007405B2" w:rsidRDefault="00F54BE0" w:rsidP="00B837E8">
      <w:pPr>
        <w:pStyle w:val="BodyTextFirstIndent"/>
        <w:jc w:val="left"/>
      </w:pPr>
      <w:r>
        <w:t>In litigation, plaintiffs have relied upon requirements set forth in WCAG 2.0 AA in identifying alleg</w:t>
      </w:r>
      <w:r w:rsidR="00B52BBE">
        <w:t>ed barriers on websites.  Court</w:t>
      </w:r>
      <w:r>
        <w:t>s</w:t>
      </w:r>
      <w:r w:rsidR="00B52BBE">
        <w:t xml:space="preserve"> </w:t>
      </w:r>
      <w:r>
        <w:t>have similarly relied upon it in str</w:t>
      </w:r>
      <w:r>
        <w:t xml:space="preserve">ucturing injunctive relief. </w:t>
      </w:r>
      <w:r w:rsidR="0093199F">
        <w:t xml:space="preserve"> </w:t>
      </w:r>
      <w:r>
        <w:rPr>
          <w:i/>
        </w:rPr>
        <w:t xml:space="preserve">See Gil v. Winn-Dixie Stores, Inc., </w:t>
      </w:r>
      <w:r>
        <w:t>257 F. Supp. 3d</w:t>
      </w:r>
      <w:r w:rsidRPr="00D714F4">
        <w:t xml:space="preserve"> 1340 (S.D. Fla. 2017)</w:t>
      </w:r>
      <w:r>
        <w:t xml:space="preserve">; </w:t>
      </w:r>
      <w:r w:rsidRPr="00275258">
        <w:rPr>
          <w:i/>
          <w:iCs/>
        </w:rPr>
        <w:t>T</w:t>
      </w:r>
      <w:r>
        <w:rPr>
          <w:i/>
          <w:iCs/>
        </w:rPr>
        <w:t>hurston v. Midvale Corp. et al.</w:t>
      </w:r>
      <w:r w:rsidRPr="00275258">
        <w:t>, Case No. BC663214 (Cal. Super. Ct., Los Angeles May 21</w:t>
      </w:r>
      <w:r>
        <w:t>, 2018) (</w:t>
      </w:r>
      <w:r w:rsidRPr="00275258">
        <w:t>California Unruh Act</w:t>
      </w:r>
      <w:r w:rsidR="00B52BBE">
        <w:t xml:space="preserve">). In addition to DOJ and OCR similarly relying on WCAG 2.0 AA in settlement agreements, WCAG 2.0 AA was adopted by the U.S. Access Board in January 2017 with respect to </w:t>
      </w:r>
      <w:r w:rsidR="00B11774">
        <w:t>f</w:t>
      </w:r>
      <w:r w:rsidR="00B52BBE">
        <w:t xml:space="preserve">ederal government websites under Section 508, and by the U.S. Department of Transportation in November 2013 with respect to airline websites under the Air Carrier Access Act.  </w:t>
      </w:r>
      <w:r w:rsidR="00B52BBE">
        <w:rPr>
          <w:i/>
        </w:rPr>
        <w:t>See</w:t>
      </w:r>
      <w:r w:rsidR="00B52BBE">
        <w:t xml:space="preserve"> 82 Fed. Reg. 5,790 (Jan. 18, 2017); 78 Fed. Reg. 67,882 (Nov. 12, 2013).  </w:t>
      </w:r>
    </w:p>
    <w:p w14:paraId="080028B6" w14:textId="0EA13C9D" w:rsidR="00F64BFE" w:rsidRDefault="00F54BE0" w:rsidP="005310F0">
      <w:pPr>
        <w:pStyle w:val="BodyTextFirstIndent"/>
        <w:jc w:val="left"/>
      </w:pPr>
      <w:r>
        <w:t xml:space="preserve">To date, </w:t>
      </w:r>
      <w:r w:rsidR="003B6F73">
        <w:t xml:space="preserve">neither </w:t>
      </w:r>
      <w:r w:rsidR="001F43A7">
        <w:t xml:space="preserve">the courts </w:t>
      </w:r>
      <w:r w:rsidR="003B6F73">
        <w:t>n</w:t>
      </w:r>
      <w:r w:rsidR="001F43A7">
        <w:t>or</w:t>
      </w:r>
      <w:r>
        <w:t xml:space="preserve"> enforcing agencies </w:t>
      </w:r>
      <w:r w:rsidR="003B6F73">
        <w:t xml:space="preserve">have </w:t>
      </w:r>
      <w:r w:rsidR="00200773">
        <w:t>utilized</w:t>
      </w:r>
      <w:r>
        <w:t xml:space="preserve"> the supplemental succ</w:t>
      </w:r>
      <w:r>
        <w:t xml:space="preserve">ess criteria provided in WCAG 2.1.  </w:t>
      </w:r>
      <w:r w:rsidR="004A1D09">
        <w:t>In Novembe</w:t>
      </w:r>
      <w:r w:rsidR="007B459E">
        <w:t>r</w:t>
      </w:r>
      <w:r w:rsidR="004A1D09">
        <w:t xml:space="preserve"> 2018</w:t>
      </w:r>
      <w:r w:rsidR="008E5909">
        <w:t xml:space="preserve">, however, the National Federation of the Blind announced a settlement agreement </w:t>
      </w:r>
      <w:r w:rsidR="0000772E">
        <w:t>with Alameda County</w:t>
      </w:r>
      <w:r w:rsidR="00B11774">
        <w:t>,</w:t>
      </w:r>
      <w:r w:rsidR="0000772E">
        <w:t xml:space="preserve"> California</w:t>
      </w:r>
      <w:r w:rsidR="00B11774">
        <w:t>,</w:t>
      </w:r>
      <w:r w:rsidR="0000772E">
        <w:t xml:space="preserve"> </w:t>
      </w:r>
      <w:r w:rsidR="008E5909">
        <w:t xml:space="preserve">in which the </w:t>
      </w:r>
      <w:r w:rsidR="00481C06">
        <w:t>c</w:t>
      </w:r>
      <w:r w:rsidR="008E5909">
        <w:t>ounty agreed to utilize WCAG 2.1 AA in making its election website</w:t>
      </w:r>
      <w:r w:rsidR="004A1D09">
        <w:t xml:space="preserve"> </w:t>
      </w:r>
      <w:r w:rsidR="0000772E">
        <w:t xml:space="preserve">accessible.  This is believed to be the </w:t>
      </w:r>
      <w:r w:rsidR="004A1D09">
        <w:t xml:space="preserve">first settlement </w:t>
      </w:r>
      <w:r w:rsidR="00443905">
        <w:t>agreement utilizing</w:t>
      </w:r>
      <w:r w:rsidR="004A1D09">
        <w:t xml:space="preserve"> WCAG 2.1 AA</w:t>
      </w:r>
      <w:r w:rsidR="0000772E">
        <w:t xml:space="preserve">, and </w:t>
      </w:r>
      <w:r w:rsidR="005237FE">
        <w:t xml:space="preserve">it </w:t>
      </w:r>
      <w:r w:rsidR="0000772E">
        <w:t>may</w:t>
      </w:r>
      <w:r w:rsidR="004A1D09">
        <w:t xml:space="preserve"> presage </w:t>
      </w:r>
      <w:r w:rsidR="0000772E">
        <w:t xml:space="preserve">further efforts </w:t>
      </w:r>
      <w:r w:rsidR="004A1D09">
        <w:t>to apply WCAG</w:t>
      </w:r>
      <w:r w:rsidR="007B459E">
        <w:t xml:space="preserve"> 2.1 AA in defining accessibility</w:t>
      </w:r>
      <w:r w:rsidR="00FA780A">
        <w:t xml:space="preserve"> for websites and other electro</w:t>
      </w:r>
      <w:r w:rsidR="007B459E">
        <w:t>n</w:t>
      </w:r>
      <w:r w:rsidR="00FA780A">
        <w:t>i</w:t>
      </w:r>
      <w:r w:rsidR="007B459E">
        <w:t>c and information technology.  Such effort</w:t>
      </w:r>
      <w:r w:rsidR="005237FE">
        <w:t>s</w:t>
      </w:r>
      <w:r w:rsidR="007B459E">
        <w:t xml:space="preserve"> </w:t>
      </w:r>
      <w:r w:rsidR="0000772E">
        <w:t>also may</w:t>
      </w:r>
      <w:r w:rsidR="007B459E">
        <w:t xml:space="preserve"> be enhanced as the technology industry itself shifts to WCAG 2.1 as a “best practice.”  </w:t>
      </w:r>
      <w:r w:rsidR="005310F0">
        <w:t>At present</w:t>
      </w:r>
      <w:r w:rsidR="007B459E">
        <w:t xml:space="preserve">, </w:t>
      </w:r>
      <w:r w:rsidR="005310F0">
        <w:t xml:space="preserve">however, </w:t>
      </w:r>
      <w:r w:rsidR="007B459E">
        <w:t xml:space="preserve">WCAG 2.0 AA </w:t>
      </w:r>
      <w:r w:rsidR="005310F0">
        <w:t>is</w:t>
      </w:r>
      <w:r w:rsidR="007B459E">
        <w:t xml:space="preserve"> the </w:t>
      </w:r>
      <w:r w:rsidR="005310F0">
        <w:t xml:space="preserve">only </w:t>
      </w:r>
      <w:r w:rsidR="0000772E">
        <w:t>version of WCAG</w:t>
      </w:r>
      <w:r w:rsidR="006E34EE">
        <w:t xml:space="preserve"> </w:t>
      </w:r>
      <w:r w:rsidR="007B459E">
        <w:t>to be adopted by any federal agency</w:t>
      </w:r>
      <w:r w:rsidR="0000772E">
        <w:t xml:space="preserve"> or utilized by the courts</w:t>
      </w:r>
      <w:r w:rsidR="006E34EE">
        <w:t>.  Ins</w:t>
      </w:r>
      <w:r w:rsidR="008002D1">
        <w:t>t</w:t>
      </w:r>
      <w:r w:rsidR="006E34EE">
        <w:t xml:space="preserve">itutions should be cognizant, however, that state agencies may embrace WCAG 2.1 under state law, even if </w:t>
      </w:r>
      <w:r w:rsidR="005310F0">
        <w:t xml:space="preserve">the federal courts have </w:t>
      </w:r>
      <w:r w:rsidR="006E34EE">
        <w:t>not</w:t>
      </w:r>
      <w:r w:rsidR="005310F0">
        <w:t xml:space="preserve"> yet done so</w:t>
      </w:r>
      <w:r w:rsidR="006E34EE">
        <w:t>.</w:t>
      </w:r>
      <w:r w:rsidR="005310F0">
        <w:t xml:space="preserve">   </w:t>
      </w:r>
    </w:p>
    <w:p w14:paraId="09268A5D" w14:textId="77777777" w:rsidR="00903221" w:rsidRDefault="00F54BE0" w:rsidP="006C6A07">
      <w:pPr>
        <w:pStyle w:val="Heading1"/>
        <w:spacing w:before="240" w:after="240"/>
        <w:contextualSpacing w:val="0"/>
      </w:pPr>
      <w:r>
        <w:t xml:space="preserve">What You Should </w:t>
      </w:r>
      <w:r w:rsidR="00C9389E">
        <w:t>Do</w:t>
      </w:r>
    </w:p>
    <w:p w14:paraId="2696C6C3" w14:textId="77777777" w:rsidR="00903221" w:rsidRDefault="00F54BE0" w:rsidP="00B837E8">
      <w:pPr>
        <w:pStyle w:val="BodyTextFirstIndent"/>
        <w:jc w:val="left"/>
      </w:pPr>
      <w:r>
        <w:t>As</w:t>
      </w:r>
      <w:r w:rsidR="00906A02">
        <w:t xml:space="preserve"> the state of the law</w:t>
      </w:r>
      <w:r>
        <w:t xml:space="preserve"> continues to evolve</w:t>
      </w:r>
      <w:r w:rsidR="00906A02">
        <w:t xml:space="preserve">, </w:t>
      </w:r>
      <w:r w:rsidR="00EA3584">
        <w:t xml:space="preserve">higher education </w:t>
      </w:r>
      <w:r w:rsidR="00906A02">
        <w:t xml:space="preserve">institutions </w:t>
      </w:r>
      <w:r w:rsidR="00FF14B0">
        <w:t xml:space="preserve">must consider several factors in attempting </w:t>
      </w:r>
      <w:r w:rsidR="00906A02">
        <w:t xml:space="preserve">to </w:t>
      </w:r>
      <w:r w:rsidR="000B6E8F">
        <w:t xml:space="preserve">navigate and ensure compliance </w:t>
      </w:r>
      <w:r>
        <w:t>in</w:t>
      </w:r>
      <w:r w:rsidR="000B6E8F">
        <w:t xml:space="preserve"> the digital realm.  </w:t>
      </w:r>
      <w:r>
        <w:t xml:space="preserve">Proactively doing so affords </w:t>
      </w:r>
      <w:r w:rsidR="000B6B83">
        <w:t xml:space="preserve">an institution </w:t>
      </w:r>
      <w:r w:rsidR="007E5C32">
        <w:t>better</w:t>
      </w:r>
      <w:r w:rsidR="000B6B83">
        <w:t xml:space="preserve"> </w:t>
      </w:r>
      <w:r w:rsidR="007E5C32">
        <w:t xml:space="preserve">ability to </w:t>
      </w:r>
      <w:r w:rsidR="000B6B83">
        <w:t>control its process and timetabl</w:t>
      </w:r>
      <w:r w:rsidR="00A4732A">
        <w:t>e</w:t>
      </w:r>
      <w:r w:rsidR="007E5C32">
        <w:t>,</w:t>
      </w:r>
      <w:r w:rsidR="00A23AA2">
        <w:t xml:space="preserve"> in addition to mitigating legal risk</w:t>
      </w:r>
      <w:r w:rsidR="00A4732A">
        <w:t xml:space="preserve">. </w:t>
      </w:r>
      <w:r w:rsidR="00A23AA2">
        <w:t>Below are several recommendations institutions should consider:</w:t>
      </w:r>
      <w:r w:rsidR="00A4732A">
        <w:t xml:space="preserve"> </w:t>
      </w:r>
    </w:p>
    <w:p w14:paraId="0153EA6E" w14:textId="77777777" w:rsidR="00A23AA2" w:rsidRDefault="00F54BE0" w:rsidP="00EA6FEE">
      <w:pPr>
        <w:pStyle w:val="BodyTextFirstIndent"/>
        <w:numPr>
          <w:ilvl w:val="0"/>
          <w:numId w:val="10"/>
        </w:numPr>
      </w:pPr>
      <w:bookmarkStart w:id="4" w:name="_Hlk535584830"/>
      <w:r w:rsidRPr="00415BC1">
        <w:rPr>
          <w:u w:val="single"/>
        </w:rPr>
        <w:t>Educate senior</w:t>
      </w:r>
      <w:r w:rsidR="00B5127E" w:rsidRPr="00415BC1">
        <w:rPr>
          <w:u w:val="single"/>
        </w:rPr>
        <w:t xml:space="preserve"> leadership</w:t>
      </w:r>
      <w:r w:rsidRPr="00415BC1">
        <w:rPr>
          <w:u w:val="single"/>
        </w:rPr>
        <w:t xml:space="preserve"> with respect to not only the legal issues, but also the ongoing process that will be required to achieve and ensure compliance</w:t>
      </w:r>
      <w:r>
        <w:t xml:space="preserve">. </w:t>
      </w:r>
      <w:bookmarkEnd w:id="4"/>
      <w:r w:rsidR="002738B7">
        <w:t>The digital realm, including assistive technologies, is not static.</w:t>
      </w:r>
      <w:r w:rsidR="000011D6">
        <w:t xml:space="preserve">  As </w:t>
      </w:r>
      <w:r w:rsidR="005237FE">
        <w:t>it changes</w:t>
      </w:r>
      <w:r w:rsidR="002738B7">
        <w:t>, accessibility solutions, industry guidelines, and legal requirements also will change.</w:t>
      </w:r>
      <w:r w:rsidR="00147F15">
        <w:t xml:space="preserve">  Understanding that the </w:t>
      </w:r>
      <w:r w:rsidR="00E40DA3">
        <w:t>process must be ongoing</w:t>
      </w:r>
      <w:r w:rsidR="00147F15">
        <w:t xml:space="preserve"> </w:t>
      </w:r>
      <w:r w:rsidR="00E40DA3">
        <w:t xml:space="preserve">is a necessary foundation </w:t>
      </w:r>
      <w:r w:rsidR="00147F15">
        <w:t xml:space="preserve">for </w:t>
      </w:r>
      <w:r w:rsidR="00E40DA3">
        <w:t>both obtaining</w:t>
      </w:r>
      <w:r w:rsidR="005237FE">
        <w:t xml:space="preserve"> and sustaining</w:t>
      </w:r>
      <w:r w:rsidR="00E40DA3">
        <w:t xml:space="preserve"> leadership commitment and a successful process. </w:t>
      </w:r>
    </w:p>
    <w:p w14:paraId="0B552B4C" w14:textId="1C9B05E0" w:rsidR="00DB2F0D" w:rsidRDefault="00F54BE0" w:rsidP="00EA6FEE">
      <w:pPr>
        <w:pStyle w:val="BodyTextFirstIndent"/>
        <w:numPr>
          <w:ilvl w:val="0"/>
          <w:numId w:val="10"/>
        </w:numPr>
      </w:pPr>
      <w:bookmarkStart w:id="5" w:name="_Hlk535584849"/>
      <w:r w:rsidRPr="00415BC1">
        <w:rPr>
          <w:u w:val="single"/>
        </w:rPr>
        <w:t xml:space="preserve">Appoint an accessibility coordinator or alternatively designate </w:t>
      </w:r>
      <w:r w:rsidR="00481C06">
        <w:rPr>
          <w:u w:val="single"/>
        </w:rPr>
        <w:t xml:space="preserve">a </w:t>
      </w:r>
      <w:r w:rsidR="00B5127E" w:rsidRPr="00415BC1">
        <w:rPr>
          <w:u w:val="single"/>
        </w:rPr>
        <w:t>responsible individual</w:t>
      </w:r>
      <w:r w:rsidR="00481C06">
        <w:rPr>
          <w:u w:val="single"/>
        </w:rPr>
        <w:t xml:space="preserve"> </w:t>
      </w:r>
      <w:r w:rsidR="00B5127E" w:rsidRPr="00415BC1">
        <w:rPr>
          <w:u w:val="single"/>
        </w:rPr>
        <w:t>(</w:t>
      </w:r>
      <w:r w:rsidR="00481C06">
        <w:rPr>
          <w:u w:val="single"/>
        </w:rPr>
        <w:t>or individual</w:t>
      </w:r>
      <w:r w:rsidR="00B5127E" w:rsidRPr="00415BC1">
        <w:rPr>
          <w:u w:val="single"/>
        </w:rPr>
        <w:t>s)</w:t>
      </w:r>
      <w:r w:rsidRPr="00415BC1">
        <w:rPr>
          <w:u w:val="single"/>
        </w:rPr>
        <w:t xml:space="preserve"> to oversee compliance in the digital realm</w:t>
      </w:r>
      <w:r>
        <w:t xml:space="preserve">.  </w:t>
      </w:r>
      <w:bookmarkEnd w:id="5"/>
      <w:r w:rsidR="009F5775">
        <w:t xml:space="preserve">Identification of a coordinator or responsible individual is a common component of agency settlements.  </w:t>
      </w:r>
      <w:r>
        <w:t>Although many individuals may have a r</w:t>
      </w:r>
      <w:r w:rsidR="00415BC1">
        <w:t>ole in your compliance efforts, officially designating responsibility to a coordinator or a limited</w:t>
      </w:r>
      <w:r w:rsidR="00481C06">
        <w:t>,</w:t>
      </w:r>
      <w:r w:rsidR="00415BC1">
        <w:t xml:space="preserve"> core number of individuals</w:t>
      </w:r>
      <w:r w:rsidR="003228BC">
        <w:t xml:space="preserve"> and granting them the necessary </w:t>
      </w:r>
      <w:r w:rsidR="003228BC">
        <w:lastRenderedPageBreak/>
        <w:t>authority to follow-through with oversight</w:t>
      </w:r>
      <w:r w:rsidR="00415BC1">
        <w:t xml:space="preserve"> better enables your compliance efforts to stay on track.</w:t>
      </w:r>
    </w:p>
    <w:p w14:paraId="5D6AB1F7" w14:textId="77777777" w:rsidR="00E40DA3" w:rsidRPr="00EA6FEE" w:rsidRDefault="00F54BE0" w:rsidP="00E40DA3">
      <w:pPr>
        <w:pStyle w:val="BodyTextFirstIndent"/>
        <w:numPr>
          <w:ilvl w:val="0"/>
          <w:numId w:val="10"/>
        </w:numPr>
      </w:pPr>
      <w:bookmarkStart w:id="6" w:name="_Hlk535584867"/>
      <w:r w:rsidRPr="00415BC1">
        <w:rPr>
          <w:u w:val="single"/>
        </w:rPr>
        <w:t xml:space="preserve">Adopt a written policy regarding </w:t>
      </w:r>
      <w:r w:rsidR="005237FE">
        <w:rPr>
          <w:u w:val="single"/>
        </w:rPr>
        <w:t xml:space="preserve">the </w:t>
      </w:r>
      <w:r w:rsidRPr="00415BC1">
        <w:rPr>
          <w:u w:val="single"/>
        </w:rPr>
        <w:t>accessibility of your electronic and information technology</w:t>
      </w:r>
      <w:r>
        <w:t>.</w:t>
      </w:r>
      <w:r w:rsidR="004E01C0">
        <w:t xml:space="preserve">  </w:t>
      </w:r>
      <w:bookmarkEnd w:id="6"/>
      <w:r w:rsidR="004E01C0">
        <w:t>The lack of such a policy factors into both agency investigations and litigation.</w:t>
      </w:r>
      <w:r w:rsidR="004E3D16">
        <w:t xml:space="preserve">  Having such a policy helps demonstrate commitment to providing accessibility, and </w:t>
      </w:r>
      <w:r w:rsidR="005237FE">
        <w:t xml:space="preserve">it </w:t>
      </w:r>
      <w:r w:rsidR="004E3D16">
        <w:t xml:space="preserve">also is viewed as helpful in ensuring ongoing compliance.  </w:t>
      </w:r>
      <w:r w:rsidR="0023742C">
        <w:t xml:space="preserve">Policies regarding </w:t>
      </w:r>
      <w:r w:rsidR="000011D6">
        <w:t>p</w:t>
      </w:r>
      <w:r w:rsidR="00AF34EF">
        <w:t xml:space="preserve">rocurement </w:t>
      </w:r>
      <w:r w:rsidR="000011D6">
        <w:t xml:space="preserve">of technology or related services </w:t>
      </w:r>
      <w:r w:rsidR="0023742C">
        <w:t xml:space="preserve">should similarly address </w:t>
      </w:r>
      <w:r w:rsidR="005237FE">
        <w:t xml:space="preserve">the </w:t>
      </w:r>
      <w:r w:rsidR="0023742C">
        <w:t>accessibility of your procurements</w:t>
      </w:r>
      <w:r w:rsidR="009F5775">
        <w:t xml:space="preserve">. </w:t>
      </w:r>
      <w:r w:rsidR="000011D6">
        <w:t xml:space="preserve"> </w:t>
      </w:r>
      <w:r w:rsidR="00AF34EF">
        <w:t xml:space="preserve">   </w:t>
      </w:r>
      <w:r w:rsidR="004E3D16">
        <w:t xml:space="preserve"> </w:t>
      </w:r>
      <w:r w:rsidR="004E01C0">
        <w:t xml:space="preserve"> </w:t>
      </w:r>
    </w:p>
    <w:p w14:paraId="613A2E47" w14:textId="65A0D3D5" w:rsidR="00DB2F0D" w:rsidRPr="00EA6FEE" w:rsidRDefault="00F54BE0" w:rsidP="00EA6FEE">
      <w:pPr>
        <w:pStyle w:val="BodyTextFirstIndent"/>
        <w:numPr>
          <w:ilvl w:val="0"/>
          <w:numId w:val="10"/>
        </w:numPr>
      </w:pPr>
      <w:bookmarkStart w:id="7" w:name="_Hlk535584911"/>
      <w:r w:rsidRPr="009324B3">
        <w:rPr>
          <w:u w:val="single"/>
        </w:rPr>
        <w:t xml:space="preserve">Develop a </w:t>
      </w:r>
      <w:r w:rsidR="009324B3" w:rsidRPr="009324B3">
        <w:rPr>
          <w:u w:val="single"/>
        </w:rPr>
        <w:t>compliance plan</w:t>
      </w:r>
      <w:r w:rsidR="009324B3">
        <w:t xml:space="preserve">.  This involves </w:t>
      </w:r>
      <w:r>
        <w:t>evaluating your electronic and information technology</w:t>
      </w:r>
      <w:r w:rsidR="009324B3">
        <w:t>;</w:t>
      </w:r>
      <w:r>
        <w:t xml:space="preserve"> formulating a prioritized </w:t>
      </w:r>
      <w:r w:rsidR="009324B3">
        <w:t>timetable</w:t>
      </w:r>
      <w:r>
        <w:t xml:space="preserve"> for </w:t>
      </w:r>
      <w:r w:rsidR="009324B3">
        <w:t>remediating inaccessible technology or content, or alternatively providing an alternate solution for accessibility</w:t>
      </w:r>
      <w:r w:rsidR="000A2241">
        <w:t>;</w:t>
      </w:r>
      <w:r w:rsidR="00B5127E" w:rsidRPr="00EA6FEE">
        <w:t xml:space="preserve"> and </w:t>
      </w:r>
      <w:r w:rsidR="00481C06">
        <w:t xml:space="preserve">establishing </w:t>
      </w:r>
      <w:r w:rsidR="000A2241">
        <w:t xml:space="preserve">a process for </w:t>
      </w:r>
      <w:r w:rsidR="00B5127E" w:rsidRPr="00EA6FEE">
        <w:t>maintain</w:t>
      </w:r>
      <w:r w:rsidR="000A2241">
        <w:t xml:space="preserve">ing accessibility, such as periodic testing and reviews.  </w:t>
      </w:r>
      <w:bookmarkEnd w:id="7"/>
      <w:r w:rsidR="000A2241">
        <w:t>Identifying interim solutions until the plan is fully implemented is also important.  Obtaining input from campus constituencies with respect to accessibility and establishing priorities for remediation</w:t>
      </w:r>
      <w:r w:rsidR="003228BC">
        <w:t xml:space="preserve"> also has been a requirement in several agency settlement agreements. </w:t>
      </w:r>
    </w:p>
    <w:p w14:paraId="100E3E5A" w14:textId="31E76BA9" w:rsidR="0034066F" w:rsidRDefault="00F54BE0" w:rsidP="00EA6FEE">
      <w:pPr>
        <w:pStyle w:val="BodyTextFirstIndent"/>
        <w:numPr>
          <w:ilvl w:val="0"/>
          <w:numId w:val="10"/>
        </w:numPr>
      </w:pPr>
      <w:bookmarkStart w:id="8" w:name="_Hlk535584933"/>
      <w:r>
        <w:rPr>
          <w:u w:val="single"/>
        </w:rPr>
        <w:t>Communicate to campus constituencies your availa</w:t>
      </w:r>
      <w:r>
        <w:rPr>
          <w:u w:val="single"/>
        </w:rPr>
        <w:t xml:space="preserve">ble accessibility resources, the </w:t>
      </w:r>
      <w:proofErr w:type="gramStart"/>
      <w:r>
        <w:rPr>
          <w:u w:val="single"/>
        </w:rPr>
        <w:t>manner in which</w:t>
      </w:r>
      <w:proofErr w:type="gramEnd"/>
      <w:r>
        <w:rPr>
          <w:u w:val="single"/>
        </w:rPr>
        <w:t xml:space="preserve"> they may obtain further assistance, and a mechanism for providing feedback.</w:t>
      </w:r>
      <w:bookmarkEnd w:id="8"/>
      <w:r w:rsidR="0027704D">
        <w:t xml:space="preserve">  Providing a mechanism for individuals to obtain</w:t>
      </w:r>
      <w:r w:rsidR="00174E3A">
        <w:t xml:space="preserve"> further assistance and responding</w:t>
      </w:r>
      <w:r w:rsidR="0027704D">
        <w:t xml:space="preserve"> to any concerns in a timely manner mitigates the risk of concerns escalating to formal litigation.</w:t>
      </w:r>
    </w:p>
    <w:p w14:paraId="364CD76F" w14:textId="58A2D042" w:rsidR="00131A2F" w:rsidRDefault="00F54BE0" w:rsidP="00481C06">
      <w:pPr>
        <w:pStyle w:val="BodyTextFirstIndent"/>
        <w:numPr>
          <w:ilvl w:val="0"/>
          <w:numId w:val="10"/>
        </w:numPr>
      </w:pPr>
      <w:bookmarkStart w:id="9" w:name="_Hlk535584945"/>
      <w:r w:rsidRPr="0027704D">
        <w:rPr>
          <w:u w:val="single"/>
        </w:rPr>
        <w:t>Provide job-appropriate</w:t>
      </w:r>
      <w:r w:rsidR="00B5127E" w:rsidRPr="0027704D">
        <w:rPr>
          <w:u w:val="single"/>
        </w:rPr>
        <w:t xml:space="preserve"> training</w:t>
      </w:r>
      <w:r>
        <w:t xml:space="preserve">.  </w:t>
      </w:r>
      <w:bookmarkEnd w:id="9"/>
      <w:r>
        <w:t>Training should be provided not only for IT staff, but also for content producers, including faculty.  Some agency settle</w:t>
      </w:r>
      <w:r>
        <w:t xml:space="preserve">ment </w:t>
      </w:r>
      <w:r w:rsidR="002156D0">
        <w:t xml:space="preserve">agreements have also included training for students, so that they are aware of available accessible technology, the process for requesting accommodations, and the </w:t>
      </w:r>
      <w:proofErr w:type="gramStart"/>
      <w:r w:rsidR="002156D0">
        <w:t>manner in which</w:t>
      </w:r>
      <w:proofErr w:type="gramEnd"/>
      <w:r w:rsidR="002156D0">
        <w:t xml:space="preserve"> they can report any concerns.</w:t>
      </w:r>
    </w:p>
    <w:p w14:paraId="3CF19AC3" w14:textId="791C4951" w:rsidR="00EA6FEE" w:rsidRDefault="00F54BE0" w:rsidP="00A97F81">
      <w:pPr>
        <w:pStyle w:val="BodyTextFirstIndent"/>
      </w:pPr>
      <w:r>
        <w:t xml:space="preserve">Given the current state of </w:t>
      </w:r>
      <w:r w:rsidR="00621A52">
        <w:t>case</w:t>
      </w:r>
      <w:r>
        <w:t xml:space="preserve"> law and th</w:t>
      </w:r>
      <w:r>
        <w:t xml:space="preserve">e absence of specific regulations or other guidance from the </w:t>
      </w:r>
      <w:r w:rsidR="00621A52">
        <w:t>enforc</w:t>
      </w:r>
      <w:r>
        <w:t>ing</w:t>
      </w:r>
      <w:r w:rsidR="00621A52">
        <w:t xml:space="preserve"> agencies, a covered entity’s obligations in providing access in the digital realm remain vaguely defined.  </w:t>
      </w:r>
      <w:r w:rsidR="00A97F81">
        <w:t>This</w:t>
      </w:r>
      <w:r w:rsidR="00621A52">
        <w:t xml:space="preserve"> vagueness will persist until the case law further develops or the enforcing agencies </w:t>
      </w:r>
      <w:r w:rsidR="00A97F81">
        <w:t xml:space="preserve">further address these issues in regulations or other guidance.  In the interim, prior settlements and judgements </w:t>
      </w:r>
      <w:r w:rsidR="006A3A0A">
        <w:t xml:space="preserve">are useful in identifying </w:t>
      </w:r>
      <w:r w:rsidR="00A97F81">
        <w:t xml:space="preserve">steps an entity can take to satisfy its obligations in the digital realm and </w:t>
      </w:r>
      <w:r w:rsidR="00E36867">
        <w:t xml:space="preserve">key standards institutions might use to guide their approach to website and </w:t>
      </w:r>
      <w:r w:rsidR="00A97F81">
        <w:t>digital</w:t>
      </w:r>
      <w:r w:rsidR="00E36867">
        <w:t xml:space="preserve"> accessibility. Institutions should utilize those standards in following the recommended steps for</w:t>
      </w:r>
      <w:r w:rsidR="00DD1258">
        <w:t xml:space="preserve"> pursuing continuous improvement in relation to web</w:t>
      </w:r>
      <w:r w:rsidR="006A3A0A">
        <w:t>site and digital</w:t>
      </w:r>
      <w:r w:rsidR="00DD1258">
        <w:t xml:space="preserve"> accessibility.</w:t>
      </w:r>
      <w:r w:rsidR="006A3A0A">
        <w:t xml:space="preserve"> Doing so is the best course presently availab</w:t>
      </w:r>
      <w:r w:rsidR="00241384">
        <w:t>le for avoiding potential legal liability.</w:t>
      </w:r>
      <w:r w:rsidR="006A3A0A">
        <w:t xml:space="preserve"> </w:t>
      </w:r>
      <w:r w:rsidR="00DD1258">
        <w:t xml:space="preserve"> </w:t>
      </w:r>
    </w:p>
    <w:p w14:paraId="1BCAF1B9" w14:textId="77777777" w:rsidR="00BF36BB" w:rsidRDefault="00BF36BB" w:rsidP="00A97F81">
      <w:pPr>
        <w:pStyle w:val="BodyTextFirstIndent"/>
      </w:pPr>
    </w:p>
    <w:p w14:paraId="3DCAFFB3" w14:textId="17F90E6E" w:rsidR="00DD1258" w:rsidRPr="00EA6FEE" w:rsidRDefault="00F54BE0" w:rsidP="003F0105">
      <w:pPr>
        <w:pStyle w:val="BodyTextFirstIndent"/>
        <w:ind w:firstLine="0"/>
      </w:pPr>
      <w:r w:rsidRPr="003F0105">
        <w:rPr>
          <w:i/>
        </w:rPr>
        <w:t>Teresa L. Jakubowski is a partner in the Washington, D.C.</w:t>
      </w:r>
      <w:r w:rsidR="00E77E62">
        <w:rPr>
          <w:i/>
        </w:rPr>
        <w:t>,</w:t>
      </w:r>
      <w:r w:rsidRPr="003F0105">
        <w:rPr>
          <w:i/>
        </w:rPr>
        <w:t xml:space="preserve"> office of Barnes &amp; Thornburg LLP.  She chairs the firm’s Accessibility &amp; Disability practice and</w:t>
      </w:r>
      <w:r w:rsidR="00E77E62">
        <w:rPr>
          <w:i/>
        </w:rPr>
        <w:t xml:space="preserve"> </w:t>
      </w:r>
      <w:r w:rsidRPr="003F0105">
        <w:rPr>
          <w:i/>
        </w:rPr>
        <w:t>is</w:t>
      </w:r>
      <w:r w:rsidR="00E77E62">
        <w:rPr>
          <w:i/>
        </w:rPr>
        <w:t xml:space="preserve"> also</w:t>
      </w:r>
      <w:r w:rsidRPr="003F0105">
        <w:rPr>
          <w:i/>
        </w:rPr>
        <w:t xml:space="preserve"> a member of the firm’</w:t>
      </w:r>
      <w:r w:rsidRPr="003F0105">
        <w:rPr>
          <w:i/>
        </w:rPr>
        <w:t>s Higher Education Law practice.</w:t>
      </w:r>
      <w:r w:rsidR="00431C78">
        <w:t xml:space="preserve">  </w:t>
      </w:r>
      <w:r w:rsidR="00431C78" w:rsidRPr="003F0105">
        <w:rPr>
          <w:i/>
        </w:rPr>
        <w:t>She has represented a wide array of clients, including institutions of higher education, with respect to all aspects of compliance with the Americans with Disabilities Act, the Rehabilitation Act of 1973 and analogous state and local laws.  Her relevant experience includes advising and defending</w:t>
      </w:r>
      <w:r w:rsidR="00E77E62">
        <w:rPr>
          <w:i/>
        </w:rPr>
        <w:t xml:space="preserve"> clients</w:t>
      </w:r>
      <w:r w:rsidR="00431C78" w:rsidRPr="003F0105">
        <w:rPr>
          <w:i/>
        </w:rPr>
        <w:t xml:space="preserve"> in litigation and administrative actions with respect to </w:t>
      </w:r>
      <w:r w:rsidR="00431C78" w:rsidRPr="003F0105">
        <w:rPr>
          <w:i/>
        </w:rPr>
        <w:lastRenderedPageBreak/>
        <w:t>accessibility of physical facilities (e.g., assembly areas, class rooms and student housing); digital accessibility (e.g., websites, mobile apps and other technology); reasonable accommodation and modification of policies, practices and procedures; provision of auxiliary aids and services; and testing accommodations.</w:t>
      </w:r>
    </w:p>
    <w:sectPr w:rsidR="00DD1258" w:rsidRPr="00EA6FEE" w:rsidSect="000952BA">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8B20F" w14:textId="77777777" w:rsidR="00F54BE0" w:rsidRDefault="00F54BE0">
      <w:r>
        <w:separator/>
      </w:r>
    </w:p>
  </w:endnote>
  <w:endnote w:type="continuationSeparator" w:id="0">
    <w:p w14:paraId="46F6B63E" w14:textId="77777777" w:rsidR="00F54BE0" w:rsidRDefault="00F5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BEE3" w14:textId="58A5522F" w:rsidR="00930E50" w:rsidRPr="00BF3409" w:rsidRDefault="00F54BE0">
    <w:pPr>
      <w:pStyle w:val="Footer"/>
      <w:rPr>
        <w:sz w:val="22"/>
      </w:rPr>
    </w:pPr>
    <w:r w:rsidRPr="00BF3409">
      <w:rPr>
        <w:sz w:val="22"/>
      </w:rPr>
      <w:t xml:space="preserve">2018 Digital Accessibility </w:t>
    </w:r>
    <w:r w:rsidRPr="00BF3409">
      <w:rPr>
        <w:sz w:val="22"/>
      </w:rPr>
      <w:t>Developments</w:t>
    </w:r>
    <w:r w:rsidR="00BF3409" w:rsidRPr="00BF3409">
      <w:rPr>
        <w:sz w:val="22"/>
      </w:rPr>
      <w:tab/>
    </w:r>
    <w:r w:rsidRPr="00BF3409">
      <w:rPr>
        <w:sz w:val="22"/>
      </w:rPr>
      <w:fldChar w:fldCharType="begin"/>
    </w:r>
    <w:r w:rsidRPr="00BF3409">
      <w:rPr>
        <w:sz w:val="22"/>
      </w:rPr>
      <w:instrText xml:space="preserve"> PAGE   \* MERGEFORMAT </w:instrText>
    </w:r>
    <w:r w:rsidRPr="00BF3409">
      <w:rPr>
        <w:sz w:val="22"/>
      </w:rPr>
      <w:fldChar w:fldCharType="separate"/>
    </w:r>
    <w:r w:rsidR="001646B4">
      <w:rPr>
        <w:noProof/>
        <w:sz w:val="22"/>
      </w:rPr>
      <w:t>10</w:t>
    </w:r>
    <w:r w:rsidRPr="00BF3409">
      <w:rPr>
        <w:noProof/>
        <w:sz w:val="22"/>
      </w:rPr>
      <w:fldChar w:fldCharType="end"/>
    </w:r>
    <w:r w:rsidR="00BF3409" w:rsidRPr="00BF3409">
      <w:rPr>
        <w:noProof/>
        <w:sz w:val="22"/>
      </w:rPr>
      <w:tab/>
    </w:r>
    <w:r w:rsidRPr="00BF3409">
      <w:rPr>
        <w:sz w:val="22"/>
      </w:rPr>
      <w:t xml:space="preserve">January </w:t>
    </w:r>
    <w:r w:rsidR="00F254DD">
      <w:rPr>
        <w:sz w:val="22"/>
      </w:rPr>
      <w:t>18</w:t>
    </w:r>
    <w:r w:rsidRPr="00BF3409">
      <w:rPr>
        <w:sz w:val="22"/>
      </w:rPr>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361427"/>
      <w:docPartObj>
        <w:docPartGallery w:val="Page Numbers (Bottom of Page)"/>
        <w:docPartUnique/>
      </w:docPartObj>
    </w:sdtPr>
    <w:sdtEndPr>
      <w:rPr>
        <w:noProof/>
      </w:rPr>
    </w:sdtEndPr>
    <w:sdtContent>
      <w:p w14:paraId="1D9FFE0E" w14:textId="77777777" w:rsidR="00DD1258" w:rsidRDefault="00F54BE0">
        <w:pPr>
          <w:pStyle w:val="Footer"/>
          <w:jc w:val="center"/>
        </w:pPr>
        <w:r>
          <w:fldChar w:fldCharType="begin"/>
        </w:r>
        <w:r>
          <w:instrText xml:space="preserve"> PAGE   \* MERGEFORMAT </w:instrText>
        </w:r>
        <w:r>
          <w:fldChar w:fldCharType="separate"/>
        </w:r>
        <w:r w:rsidR="003D23B8">
          <w:rPr>
            <w:noProof/>
          </w:rPr>
          <w:t>1</w:t>
        </w:r>
        <w:r>
          <w:rPr>
            <w:noProof/>
          </w:rPr>
          <w:fldChar w:fldCharType="end"/>
        </w:r>
      </w:p>
    </w:sdtContent>
  </w:sdt>
  <w:p w14:paraId="1DE217F5" w14:textId="77777777" w:rsidR="00DD1258" w:rsidRDefault="00DD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C935" w14:textId="77777777" w:rsidR="00F54BE0" w:rsidRDefault="00F54BE0">
      <w:r>
        <w:separator/>
      </w:r>
    </w:p>
  </w:footnote>
  <w:footnote w:type="continuationSeparator" w:id="0">
    <w:p w14:paraId="7335C997" w14:textId="77777777" w:rsidR="00F54BE0" w:rsidRDefault="00F54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5BA7AC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3CA2D58"/>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734C9DD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64565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F2E389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FC0D28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A5D0D1D"/>
    <w:multiLevelType w:val="hybridMultilevel"/>
    <w:tmpl w:val="79C03678"/>
    <w:lvl w:ilvl="0" w:tplc="0DA48A10">
      <w:start w:val="1"/>
      <w:numFmt w:val="bullet"/>
      <w:lvlText w:val="•"/>
      <w:lvlJc w:val="left"/>
      <w:pPr>
        <w:tabs>
          <w:tab w:val="num" w:pos="720"/>
        </w:tabs>
        <w:ind w:left="720" w:hanging="360"/>
      </w:pPr>
      <w:rPr>
        <w:rFonts w:ascii="Arial" w:hAnsi="Arial" w:hint="default"/>
      </w:rPr>
    </w:lvl>
    <w:lvl w:ilvl="1" w:tplc="32D44EB6">
      <w:start w:val="1"/>
      <w:numFmt w:val="bullet"/>
      <w:lvlText w:val="•"/>
      <w:lvlJc w:val="left"/>
      <w:pPr>
        <w:tabs>
          <w:tab w:val="num" w:pos="1440"/>
        </w:tabs>
        <w:ind w:left="1440" w:hanging="360"/>
      </w:pPr>
      <w:rPr>
        <w:rFonts w:ascii="Arial" w:hAnsi="Arial" w:hint="default"/>
      </w:rPr>
    </w:lvl>
    <w:lvl w:ilvl="2" w:tplc="17D21A80" w:tentative="1">
      <w:start w:val="1"/>
      <w:numFmt w:val="bullet"/>
      <w:lvlText w:val="•"/>
      <w:lvlJc w:val="left"/>
      <w:pPr>
        <w:tabs>
          <w:tab w:val="num" w:pos="2160"/>
        </w:tabs>
        <w:ind w:left="2160" w:hanging="360"/>
      </w:pPr>
      <w:rPr>
        <w:rFonts w:ascii="Arial" w:hAnsi="Arial" w:hint="default"/>
      </w:rPr>
    </w:lvl>
    <w:lvl w:ilvl="3" w:tplc="16B6964A" w:tentative="1">
      <w:start w:val="1"/>
      <w:numFmt w:val="bullet"/>
      <w:lvlText w:val="•"/>
      <w:lvlJc w:val="left"/>
      <w:pPr>
        <w:tabs>
          <w:tab w:val="num" w:pos="2880"/>
        </w:tabs>
        <w:ind w:left="2880" w:hanging="360"/>
      </w:pPr>
      <w:rPr>
        <w:rFonts w:ascii="Arial" w:hAnsi="Arial" w:hint="default"/>
      </w:rPr>
    </w:lvl>
    <w:lvl w:ilvl="4" w:tplc="01BE4608" w:tentative="1">
      <w:start w:val="1"/>
      <w:numFmt w:val="bullet"/>
      <w:lvlText w:val="•"/>
      <w:lvlJc w:val="left"/>
      <w:pPr>
        <w:tabs>
          <w:tab w:val="num" w:pos="3600"/>
        </w:tabs>
        <w:ind w:left="3600" w:hanging="360"/>
      </w:pPr>
      <w:rPr>
        <w:rFonts w:ascii="Arial" w:hAnsi="Arial" w:hint="default"/>
      </w:rPr>
    </w:lvl>
    <w:lvl w:ilvl="5" w:tplc="1512C448" w:tentative="1">
      <w:start w:val="1"/>
      <w:numFmt w:val="bullet"/>
      <w:lvlText w:val="•"/>
      <w:lvlJc w:val="left"/>
      <w:pPr>
        <w:tabs>
          <w:tab w:val="num" w:pos="4320"/>
        </w:tabs>
        <w:ind w:left="4320" w:hanging="360"/>
      </w:pPr>
      <w:rPr>
        <w:rFonts w:ascii="Arial" w:hAnsi="Arial" w:hint="default"/>
      </w:rPr>
    </w:lvl>
    <w:lvl w:ilvl="6" w:tplc="703C1440" w:tentative="1">
      <w:start w:val="1"/>
      <w:numFmt w:val="bullet"/>
      <w:lvlText w:val="•"/>
      <w:lvlJc w:val="left"/>
      <w:pPr>
        <w:tabs>
          <w:tab w:val="num" w:pos="5040"/>
        </w:tabs>
        <w:ind w:left="5040" w:hanging="360"/>
      </w:pPr>
      <w:rPr>
        <w:rFonts w:ascii="Arial" w:hAnsi="Arial" w:hint="default"/>
      </w:rPr>
    </w:lvl>
    <w:lvl w:ilvl="7" w:tplc="410CD772" w:tentative="1">
      <w:start w:val="1"/>
      <w:numFmt w:val="bullet"/>
      <w:lvlText w:val="•"/>
      <w:lvlJc w:val="left"/>
      <w:pPr>
        <w:tabs>
          <w:tab w:val="num" w:pos="5760"/>
        </w:tabs>
        <w:ind w:left="5760" w:hanging="360"/>
      </w:pPr>
      <w:rPr>
        <w:rFonts w:ascii="Arial" w:hAnsi="Arial" w:hint="default"/>
      </w:rPr>
    </w:lvl>
    <w:lvl w:ilvl="8" w:tplc="E53E1D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62F5"/>
    <w:multiLevelType w:val="hybridMultilevel"/>
    <w:tmpl w:val="54FA4C12"/>
    <w:lvl w:ilvl="0" w:tplc="065C4A22">
      <w:start w:val="1"/>
      <w:numFmt w:val="bullet"/>
      <w:lvlText w:val="•"/>
      <w:lvlJc w:val="left"/>
      <w:pPr>
        <w:tabs>
          <w:tab w:val="num" w:pos="720"/>
        </w:tabs>
        <w:ind w:left="720" w:hanging="360"/>
      </w:pPr>
      <w:rPr>
        <w:rFonts w:ascii="Arial" w:hAnsi="Arial" w:hint="default"/>
      </w:rPr>
    </w:lvl>
    <w:lvl w:ilvl="1" w:tplc="8482DF06">
      <w:start w:val="270"/>
      <w:numFmt w:val="bullet"/>
      <w:lvlText w:val="–"/>
      <w:lvlJc w:val="left"/>
      <w:pPr>
        <w:tabs>
          <w:tab w:val="num" w:pos="1440"/>
        </w:tabs>
        <w:ind w:left="1440" w:hanging="360"/>
      </w:pPr>
      <w:rPr>
        <w:rFonts w:ascii="Arial" w:hAnsi="Arial" w:hint="default"/>
      </w:rPr>
    </w:lvl>
    <w:lvl w:ilvl="2" w:tplc="79204C5E" w:tentative="1">
      <w:start w:val="1"/>
      <w:numFmt w:val="bullet"/>
      <w:lvlText w:val="•"/>
      <w:lvlJc w:val="left"/>
      <w:pPr>
        <w:tabs>
          <w:tab w:val="num" w:pos="2160"/>
        </w:tabs>
        <w:ind w:left="2160" w:hanging="360"/>
      </w:pPr>
      <w:rPr>
        <w:rFonts w:ascii="Arial" w:hAnsi="Arial" w:hint="default"/>
      </w:rPr>
    </w:lvl>
    <w:lvl w:ilvl="3" w:tplc="0450B070" w:tentative="1">
      <w:start w:val="1"/>
      <w:numFmt w:val="bullet"/>
      <w:lvlText w:val="•"/>
      <w:lvlJc w:val="left"/>
      <w:pPr>
        <w:tabs>
          <w:tab w:val="num" w:pos="2880"/>
        </w:tabs>
        <w:ind w:left="2880" w:hanging="360"/>
      </w:pPr>
      <w:rPr>
        <w:rFonts w:ascii="Arial" w:hAnsi="Arial" w:hint="default"/>
      </w:rPr>
    </w:lvl>
    <w:lvl w:ilvl="4" w:tplc="28A242B8" w:tentative="1">
      <w:start w:val="1"/>
      <w:numFmt w:val="bullet"/>
      <w:lvlText w:val="•"/>
      <w:lvlJc w:val="left"/>
      <w:pPr>
        <w:tabs>
          <w:tab w:val="num" w:pos="3600"/>
        </w:tabs>
        <w:ind w:left="3600" w:hanging="360"/>
      </w:pPr>
      <w:rPr>
        <w:rFonts w:ascii="Arial" w:hAnsi="Arial" w:hint="default"/>
      </w:rPr>
    </w:lvl>
    <w:lvl w:ilvl="5" w:tplc="09708B5E" w:tentative="1">
      <w:start w:val="1"/>
      <w:numFmt w:val="bullet"/>
      <w:lvlText w:val="•"/>
      <w:lvlJc w:val="left"/>
      <w:pPr>
        <w:tabs>
          <w:tab w:val="num" w:pos="4320"/>
        </w:tabs>
        <w:ind w:left="4320" w:hanging="360"/>
      </w:pPr>
      <w:rPr>
        <w:rFonts w:ascii="Arial" w:hAnsi="Arial" w:hint="default"/>
      </w:rPr>
    </w:lvl>
    <w:lvl w:ilvl="6" w:tplc="1F66EA7C" w:tentative="1">
      <w:start w:val="1"/>
      <w:numFmt w:val="bullet"/>
      <w:lvlText w:val="•"/>
      <w:lvlJc w:val="left"/>
      <w:pPr>
        <w:tabs>
          <w:tab w:val="num" w:pos="5040"/>
        </w:tabs>
        <w:ind w:left="5040" w:hanging="360"/>
      </w:pPr>
      <w:rPr>
        <w:rFonts w:ascii="Arial" w:hAnsi="Arial" w:hint="default"/>
      </w:rPr>
    </w:lvl>
    <w:lvl w:ilvl="7" w:tplc="40FEB01C" w:tentative="1">
      <w:start w:val="1"/>
      <w:numFmt w:val="bullet"/>
      <w:lvlText w:val="•"/>
      <w:lvlJc w:val="left"/>
      <w:pPr>
        <w:tabs>
          <w:tab w:val="num" w:pos="5760"/>
        </w:tabs>
        <w:ind w:left="5760" w:hanging="360"/>
      </w:pPr>
      <w:rPr>
        <w:rFonts w:ascii="Arial" w:hAnsi="Arial" w:hint="default"/>
      </w:rPr>
    </w:lvl>
    <w:lvl w:ilvl="8" w:tplc="9AAEB6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832CDF"/>
    <w:multiLevelType w:val="hybridMultilevel"/>
    <w:tmpl w:val="63FEA3F2"/>
    <w:lvl w:ilvl="0" w:tplc="4EFC7E50">
      <w:start w:val="1"/>
      <w:numFmt w:val="bullet"/>
      <w:lvlText w:val="•"/>
      <w:lvlJc w:val="left"/>
      <w:pPr>
        <w:tabs>
          <w:tab w:val="num" w:pos="720"/>
        </w:tabs>
        <w:ind w:left="720" w:hanging="360"/>
      </w:pPr>
      <w:rPr>
        <w:rFonts w:ascii="Arial" w:hAnsi="Arial" w:hint="default"/>
      </w:rPr>
    </w:lvl>
    <w:lvl w:ilvl="1" w:tplc="258E016C">
      <w:start w:val="270"/>
      <w:numFmt w:val="bullet"/>
      <w:lvlText w:val="–"/>
      <w:lvlJc w:val="left"/>
      <w:pPr>
        <w:tabs>
          <w:tab w:val="num" w:pos="1440"/>
        </w:tabs>
        <w:ind w:left="1440" w:hanging="360"/>
      </w:pPr>
      <w:rPr>
        <w:rFonts w:ascii="Arial" w:hAnsi="Arial" w:hint="default"/>
      </w:rPr>
    </w:lvl>
    <w:lvl w:ilvl="2" w:tplc="F8E03B78" w:tentative="1">
      <w:start w:val="1"/>
      <w:numFmt w:val="bullet"/>
      <w:lvlText w:val="•"/>
      <w:lvlJc w:val="left"/>
      <w:pPr>
        <w:tabs>
          <w:tab w:val="num" w:pos="2160"/>
        </w:tabs>
        <w:ind w:left="2160" w:hanging="360"/>
      </w:pPr>
      <w:rPr>
        <w:rFonts w:ascii="Arial" w:hAnsi="Arial" w:hint="default"/>
      </w:rPr>
    </w:lvl>
    <w:lvl w:ilvl="3" w:tplc="D9DA184E" w:tentative="1">
      <w:start w:val="1"/>
      <w:numFmt w:val="bullet"/>
      <w:lvlText w:val="•"/>
      <w:lvlJc w:val="left"/>
      <w:pPr>
        <w:tabs>
          <w:tab w:val="num" w:pos="2880"/>
        </w:tabs>
        <w:ind w:left="2880" w:hanging="360"/>
      </w:pPr>
      <w:rPr>
        <w:rFonts w:ascii="Arial" w:hAnsi="Arial" w:hint="default"/>
      </w:rPr>
    </w:lvl>
    <w:lvl w:ilvl="4" w:tplc="D9FE6AEA" w:tentative="1">
      <w:start w:val="1"/>
      <w:numFmt w:val="bullet"/>
      <w:lvlText w:val="•"/>
      <w:lvlJc w:val="left"/>
      <w:pPr>
        <w:tabs>
          <w:tab w:val="num" w:pos="3600"/>
        </w:tabs>
        <w:ind w:left="3600" w:hanging="360"/>
      </w:pPr>
      <w:rPr>
        <w:rFonts w:ascii="Arial" w:hAnsi="Arial" w:hint="default"/>
      </w:rPr>
    </w:lvl>
    <w:lvl w:ilvl="5" w:tplc="1A86E6DE" w:tentative="1">
      <w:start w:val="1"/>
      <w:numFmt w:val="bullet"/>
      <w:lvlText w:val="•"/>
      <w:lvlJc w:val="left"/>
      <w:pPr>
        <w:tabs>
          <w:tab w:val="num" w:pos="4320"/>
        </w:tabs>
        <w:ind w:left="4320" w:hanging="360"/>
      </w:pPr>
      <w:rPr>
        <w:rFonts w:ascii="Arial" w:hAnsi="Arial" w:hint="default"/>
      </w:rPr>
    </w:lvl>
    <w:lvl w:ilvl="6" w:tplc="5AC0D0DC" w:tentative="1">
      <w:start w:val="1"/>
      <w:numFmt w:val="bullet"/>
      <w:lvlText w:val="•"/>
      <w:lvlJc w:val="left"/>
      <w:pPr>
        <w:tabs>
          <w:tab w:val="num" w:pos="5040"/>
        </w:tabs>
        <w:ind w:left="5040" w:hanging="360"/>
      </w:pPr>
      <w:rPr>
        <w:rFonts w:ascii="Arial" w:hAnsi="Arial" w:hint="default"/>
      </w:rPr>
    </w:lvl>
    <w:lvl w:ilvl="7" w:tplc="334C7078" w:tentative="1">
      <w:start w:val="1"/>
      <w:numFmt w:val="bullet"/>
      <w:lvlText w:val="•"/>
      <w:lvlJc w:val="left"/>
      <w:pPr>
        <w:tabs>
          <w:tab w:val="num" w:pos="5760"/>
        </w:tabs>
        <w:ind w:left="5760" w:hanging="360"/>
      </w:pPr>
      <w:rPr>
        <w:rFonts w:ascii="Arial" w:hAnsi="Arial" w:hint="default"/>
      </w:rPr>
    </w:lvl>
    <w:lvl w:ilvl="8" w:tplc="1D604E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360A5A"/>
    <w:multiLevelType w:val="hybridMultilevel"/>
    <w:tmpl w:val="89FCFFCA"/>
    <w:lvl w:ilvl="0" w:tplc="C868B574">
      <w:start w:val="1"/>
      <w:numFmt w:val="bullet"/>
      <w:lvlText w:val="•"/>
      <w:lvlJc w:val="left"/>
      <w:pPr>
        <w:tabs>
          <w:tab w:val="num" w:pos="720"/>
        </w:tabs>
        <w:ind w:left="720" w:hanging="360"/>
      </w:pPr>
      <w:rPr>
        <w:rFonts w:ascii="Arial" w:hAnsi="Arial" w:hint="default"/>
      </w:rPr>
    </w:lvl>
    <w:lvl w:ilvl="1" w:tplc="D4182E88">
      <w:start w:val="270"/>
      <w:numFmt w:val="bullet"/>
      <w:lvlText w:val="–"/>
      <w:lvlJc w:val="left"/>
      <w:pPr>
        <w:tabs>
          <w:tab w:val="num" w:pos="1440"/>
        </w:tabs>
        <w:ind w:left="1440" w:hanging="360"/>
      </w:pPr>
      <w:rPr>
        <w:rFonts w:ascii="Arial" w:hAnsi="Arial" w:hint="default"/>
      </w:rPr>
    </w:lvl>
    <w:lvl w:ilvl="2" w:tplc="9C04B610" w:tentative="1">
      <w:start w:val="1"/>
      <w:numFmt w:val="bullet"/>
      <w:lvlText w:val="•"/>
      <w:lvlJc w:val="left"/>
      <w:pPr>
        <w:tabs>
          <w:tab w:val="num" w:pos="2160"/>
        </w:tabs>
        <w:ind w:left="2160" w:hanging="360"/>
      </w:pPr>
      <w:rPr>
        <w:rFonts w:ascii="Arial" w:hAnsi="Arial" w:hint="default"/>
      </w:rPr>
    </w:lvl>
    <w:lvl w:ilvl="3" w:tplc="1B527A70" w:tentative="1">
      <w:start w:val="1"/>
      <w:numFmt w:val="bullet"/>
      <w:lvlText w:val="•"/>
      <w:lvlJc w:val="left"/>
      <w:pPr>
        <w:tabs>
          <w:tab w:val="num" w:pos="2880"/>
        </w:tabs>
        <w:ind w:left="2880" w:hanging="360"/>
      </w:pPr>
      <w:rPr>
        <w:rFonts w:ascii="Arial" w:hAnsi="Arial" w:hint="default"/>
      </w:rPr>
    </w:lvl>
    <w:lvl w:ilvl="4" w:tplc="AAD2AB0C" w:tentative="1">
      <w:start w:val="1"/>
      <w:numFmt w:val="bullet"/>
      <w:lvlText w:val="•"/>
      <w:lvlJc w:val="left"/>
      <w:pPr>
        <w:tabs>
          <w:tab w:val="num" w:pos="3600"/>
        </w:tabs>
        <w:ind w:left="3600" w:hanging="360"/>
      </w:pPr>
      <w:rPr>
        <w:rFonts w:ascii="Arial" w:hAnsi="Arial" w:hint="default"/>
      </w:rPr>
    </w:lvl>
    <w:lvl w:ilvl="5" w:tplc="684A57DA" w:tentative="1">
      <w:start w:val="1"/>
      <w:numFmt w:val="bullet"/>
      <w:lvlText w:val="•"/>
      <w:lvlJc w:val="left"/>
      <w:pPr>
        <w:tabs>
          <w:tab w:val="num" w:pos="4320"/>
        </w:tabs>
        <w:ind w:left="4320" w:hanging="360"/>
      </w:pPr>
      <w:rPr>
        <w:rFonts w:ascii="Arial" w:hAnsi="Arial" w:hint="default"/>
      </w:rPr>
    </w:lvl>
    <w:lvl w:ilvl="6" w:tplc="C7DCEBA2" w:tentative="1">
      <w:start w:val="1"/>
      <w:numFmt w:val="bullet"/>
      <w:lvlText w:val="•"/>
      <w:lvlJc w:val="left"/>
      <w:pPr>
        <w:tabs>
          <w:tab w:val="num" w:pos="5040"/>
        </w:tabs>
        <w:ind w:left="5040" w:hanging="360"/>
      </w:pPr>
      <w:rPr>
        <w:rFonts w:ascii="Arial" w:hAnsi="Arial" w:hint="default"/>
      </w:rPr>
    </w:lvl>
    <w:lvl w:ilvl="7" w:tplc="5EFAF49A" w:tentative="1">
      <w:start w:val="1"/>
      <w:numFmt w:val="bullet"/>
      <w:lvlText w:val="•"/>
      <w:lvlJc w:val="left"/>
      <w:pPr>
        <w:tabs>
          <w:tab w:val="num" w:pos="5760"/>
        </w:tabs>
        <w:ind w:left="5760" w:hanging="360"/>
      </w:pPr>
      <w:rPr>
        <w:rFonts w:ascii="Arial" w:hAnsi="Arial" w:hint="default"/>
      </w:rPr>
    </w:lvl>
    <w:lvl w:ilvl="8" w:tplc="5C5CC1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E15428"/>
    <w:multiLevelType w:val="hybridMultilevel"/>
    <w:tmpl w:val="7E261DF8"/>
    <w:lvl w:ilvl="0" w:tplc="21FC2B9C">
      <w:start w:val="1"/>
      <w:numFmt w:val="bullet"/>
      <w:lvlText w:val=""/>
      <w:lvlJc w:val="left"/>
      <w:pPr>
        <w:ind w:left="1500" w:hanging="360"/>
      </w:pPr>
      <w:rPr>
        <w:rFonts w:ascii="Symbol" w:hAnsi="Symbol" w:hint="default"/>
      </w:rPr>
    </w:lvl>
    <w:lvl w:ilvl="1" w:tplc="58BA71BA" w:tentative="1">
      <w:start w:val="1"/>
      <w:numFmt w:val="bullet"/>
      <w:lvlText w:val="o"/>
      <w:lvlJc w:val="left"/>
      <w:pPr>
        <w:ind w:left="2220" w:hanging="360"/>
      </w:pPr>
      <w:rPr>
        <w:rFonts w:ascii="Courier New" w:hAnsi="Courier New" w:cs="Courier New" w:hint="default"/>
      </w:rPr>
    </w:lvl>
    <w:lvl w:ilvl="2" w:tplc="667C270A" w:tentative="1">
      <w:start w:val="1"/>
      <w:numFmt w:val="bullet"/>
      <w:lvlText w:val=""/>
      <w:lvlJc w:val="left"/>
      <w:pPr>
        <w:ind w:left="2940" w:hanging="360"/>
      </w:pPr>
      <w:rPr>
        <w:rFonts w:ascii="Wingdings" w:hAnsi="Wingdings" w:hint="default"/>
      </w:rPr>
    </w:lvl>
    <w:lvl w:ilvl="3" w:tplc="0E7ADA44" w:tentative="1">
      <w:start w:val="1"/>
      <w:numFmt w:val="bullet"/>
      <w:lvlText w:val=""/>
      <w:lvlJc w:val="left"/>
      <w:pPr>
        <w:ind w:left="3660" w:hanging="360"/>
      </w:pPr>
      <w:rPr>
        <w:rFonts w:ascii="Symbol" w:hAnsi="Symbol" w:hint="default"/>
      </w:rPr>
    </w:lvl>
    <w:lvl w:ilvl="4" w:tplc="091E41F8" w:tentative="1">
      <w:start w:val="1"/>
      <w:numFmt w:val="bullet"/>
      <w:lvlText w:val="o"/>
      <w:lvlJc w:val="left"/>
      <w:pPr>
        <w:ind w:left="4380" w:hanging="360"/>
      </w:pPr>
      <w:rPr>
        <w:rFonts w:ascii="Courier New" w:hAnsi="Courier New" w:cs="Courier New" w:hint="default"/>
      </w:rPr>
    </w:lvl>
    <w:lvl w:ilvl="5" w:tplc="46DAA2B0" w:tentative="1">
      <w:start w:val="1"/>
      <w:numFmt w:val="bullet"/>
      <w:lvlText w:val=""/>
      <w:lvlJc w:val="left"/>
      <w:pPr>
        <w:ind w:left="5100" w:hanging="360"/>
      </w:pPr>
      <w:rPr>
        <w:rFonts w:ascii="Wingdings" w:hAnsi="Wingdings" w:hint="default"/>
      </w:rPr>
    </w:lvl>
    <w:lvl w:ilvl="6" w:tplc="A40E29AA" w:tentative="1">
      <w:start w:val="1"/>
      <w:numFmt w:val="bullet"/>
      <w:lvlText w:val=""/>
      <w:lvlJc w:val="left"/>
      <w:pPr>
        <w:ind w:left="5820" w:hanging="360"/>
      </w:pPr>
      <w:rPr>
        <w:rFonts w:ascii="Symbol" w:hAnsi="Symbol" w:hint="default"/>
      </w:rPr>
    </w:lvl>
    <w:lvl w:ilvl="7" w:tplc="CC84992C" w:tentative="1">
      <w:start w:val="1"/>
      <w:numFmt w:val="bullet"/>
      <w:lvlText w:val="o"/>
      <w:lvlJc w:val="left"/>
      <w:pPr>
        <w:ind w:left="6540" w:hanging="360"/>
      </w:pPr>
      <w:rPr>
        <w:rFonts w:ascii="Courier New" w:hAnsi="Courier New" w:cs="Courier New" w:hint="default"/>
      </w:rPr>
    </w:lvl>
    <w:lvl w:ilvl="8" w:tplc="A72EF888" w:tentative="1">
      <w:start w:val="1"/>
      <w:numFmt w:val="bullet"/>
      <w:lvlText w:val=""/>
      <w:lvlJc w:val="left"/>
      <w:pPr>
        <w:ind w:left="7260" w:hanging="360"/>
      </w:pPr>
      <w:rPr>
        <w:rFonts w:ascii="Wingdings" w:hAnsi="Wingdings" w:hint="default"/>
      </w:rPr>
    </w:lvl>
  </w:abstractNum>
  <w:abstractNum w:abstractNumId="11" w15:restartNumberingAfterBreak="0">
    <w:nsid w:val="4BF12996"/>
    <w:multiLevelType w:val="hybridMultilevel"/>
    <w:tmpl w:val="3E3C0718"/>
    <w:lvl w:ilvl="0" w:tplc="E12847B0">
      <w:start w:val="1"/>
      <w:numFmt w:val="bullet"/>
      <w:lvlText w:val="•"/>
      <w:lvlJc w:val="left"/>
      <w:pPr>
        <w:tabs>
          <w:tab w:val="num" w:pos="720"/>
        </w:tabs>
        <w:ind w:left="720" w:hanging="360"/>
      </w:pPr>
      <w:rPr>
        <w:rFonts w:ascii="Arial" w:hAnsi="Arial" w:hint="default"/>
      </w:rPr>
    </w:lvl>
    <w:lvl w:ilvl="1" w:tplc="85FEDFBE">
      <w:start w:val="270"/>
      <w:numFmt w:val="bullet"/>
      <w:lvlText w:val="–"/>
      <w:lvlJc w:val="left"/>
      <w:pPr>
        <w:tabs>
          <w:tab w:val="num" w:pos="1440"/>
        </w:tabs>
        <w:ind w:left="1440" w:hanging="360"/>
      </w:pPr>
      <w:rPr>
        <w:rFonts w:ascii="Arial" w:hAnsi="Arial" w:hint="default"/>
      </w:rPr>
    </w:lvl>
    <w:lvl w:ilvl="2" w:tplc="2746EE7A" w:tentative="1">
      <w:start w:val="1"/>
      <w:numFmt w:val="bullet"/>
      <w:lvlText w:val="•"/>
      <w:lvlJc w:val="left"/>
      <w:pPr>
        <w:tabs>
          <w:tab w:val="num" w:pos="2160"/>
        </w:tabs>
        <w:ind w:left="2160" w:hanging="360"/>
      </w:pPr>
      <w:rPr>
        <w:rFonts w:ascii="Arial" w:hAnsi="Arial" w:hint="default"/>
      </w:rPr>
    </w:lvl>
    <w:lvl w:ilvl="3" w:tplc="50D6804E" w:tentative="1">
      <w:start w:val="1"/>
      <w:numFmt w:val="bullet"/>
      <w:lvlText w:val="•"/>
      <w:lvlJc w:val="left"/>
      <w:pPr>
        <w:tabs>
          <w:tab w:val="num" w:pos="2880"/>
        </w:tabs>
        <w:ind w:left="2880" w:hanging="360"/>
      </w:pPr>
      <w:rPr>
        <w:rFonts w:ascii="Arial" w:hAnsi="Arial" w:hint="default"/>
      </w:rPr>
    </w:lvl>
    <w:lvl w:ilvl="4" w:tplc="C88E708C" w:tentative="1">
      <w:start w:val="1"/>
      <w:numFmt w:val="bullet"/>
      <w:lvlText w:val="•"/>
      <w:lvlJc w:val="left"/>
      <w:pPr>
        <w:tabs>
          <w:tab w:val="num" w:pos="3600"/>
        </w:tabs>
        <w:ind w:left="3600" w:hanging="360"/>
      </w:pPr>
      <w:rPr>
        <w:rFonts w:ascii="Arial" w:hAnsi="Arial" w:hint="default"/>
      </w:rPr>
    </w:lvl>
    <w:lvl w:ilvl="5" w:tplc="430CB326" w:tentative="1">
      <w:start w:val="1"/>
      <w:numFmt w:val="bullet"/>
      <w:lvlText w:val="•"/>
      <w:lvlJc w:val="left"/>
      <w:pPr>
        <w:tabs>
          <w:tab w:val="num" w:pos="4320"/>
        </w:tabs>
        <w:ind w:left="4320" w:hanging="360"/>
      </w:pPr>
      <w:rPr>
        <w:rFonts w:ascii="Arial" w:hAnsi="Arial" w:hint="default"/>
      </w:rPr>
    </w:lvl>
    <w:lvl w:ilvl="6" w:tplc="6994A9A0" w:tentative="1">
      <w:start w:val="1"/>
      <w:numFmt w:val="bullet"/>
      <w:lvlText w:val="•"/>
      <w:lvlJc w:val="left"/>
      <w:pPr>
        <w:tabs>
          <w:tab w:val="num" w:pos="5040"/>
        </w:tabs>
        <w:ind w:left="5040" w:hanging="360"/>
      </w:pPr>
      <w:rPr>
        <w:rFonts w:ascii="Arial" w:hAnsi="Arial" w:hint="default"/>
      </w:rPr>
    </w:lvl>
    <w:lvl w:ilvl="7" w:tplc="DBFC08F8" w:tentative="1">
      <w:start w:val="1"/>
      <w:numFmt w:val="bullet"/>
      <w:lvlText w:val="•"/>
      <w:lvlJc w:val="left"/>
      <w:pPr>
        <w:tabs>
          <w:tab w:val="num" w:pos="5760"/>
        </w:tabs>
        <w:ind w:left="5760" w:hanging="360"/>
      </w:pPr>
      <w:rPr>
        <w:rFonts w:ascii="Arial" w:hAnsi="Arial" w:hint="default"/>
      </w:rPr>
    </w:lvl>
    <w:lvl w:ilvl="8" w:tplc="829E83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EA103A"/>
    <w:multiLevelType w:val="hybridMultilevel"/>
    <w:tmpl w:val="5C3AB840"/>
    <w:lvl w:ilvl="0" w:tplc="7C6E2BD2">
      <w:start w:val="1"/>
      <w:numFmt w:val="bullet"/>
      <w:lvlText w:val="•"/>
      <w:lvlJc w:val="left"/>
      <w:pPr>
        <w:tabs>
          <w:tab w:val="num" w:pos="720"/>
        </w:tabs>
        <w:ind w:left="720" w:hanging="360"/>
      </w:pPr>
      <w:rPr>
        <w:rFonts w:ascii="Arial" w:hAnsi="Arial" w:hint="default"/>
      </w:rPr>
    </w:lvl>
    <w:lvl w:ilvl="1" w:tplc="7C42803E">
      <w:start w:val="270"/>
      <w:numFmt w:val="bullet"/>
      <w:lvlText w:val="–"/>
      <w:lvlJc w:val="left"/>
      <w:pPr>
        <w:tabs>
          <w:tab w:val="num" w:pos="1440"/>
        </w:tabs>
        <w:ind w:left="1440" w:hanging="360"/>
      </w:pPr>
      <w:rPr>
        <w:rFonts w:ascii="Arial" w:hAnsi="Arial" w:hint="default"/>
      </w:rPr>
    </w:lvl>
    <w:lvl w:ilvl="2" w:tplc="2DC8C210" w:tentative="1">
      <w:start w:val="1"/>
      <w:numFmt w:val="bullet"/>
      <w:lvlText w:val="•"/>
      <w:lvlJc w:val="left"/>
      <w:pPr>
        <w:tabs>
          <w:tab w:val="num" w:pos="2160"/>
        </w:tabs>
        <w:ind w:left="2160" w:hanging="360"/>
      </w:pPr>
      <w:rPr>
        <w:rFonts w:ascii="Arial" w:hAnsi="Arial" w:hint="default"/>
      </w:rPr>
    </w:lvl>
    <w:lvl w:ilvl="3" w:tplc="66544054" w:tentative="1">
      <w:start w:val="1"/>
      <w:numFmt w:val="bullet"/>
      <w:lvlText w:val="•"/>
      <w:lvlJc w:val="left"/>
      <w:pPr>
        <w:tabs>
          <w:tab w:val="num" w:pos="2880"/>
        </w:tabs>
        <w:ind w:left="2880" w:hanging="360"/>
      </w:pPr>
      <w:rPr>
        <w:rFonts w:ascii="Arial" w:hAnsi="Arial" w:hint="default"/>
      </w:rPr>
    </w:lvl>
    <w:lvl w:ilvl="4" w:tplc="2BB05FAE" w:tentative="1">
      <w:start w:val="1"/>
      <w:numFmt w:val="bullet"/>
      <w:lvlText w:val="•"/>
      <w:lvlJc w:val="left"/>
      <w:pPr>
        <w:tabs>
          <w:tab w:val="num" w:pos="3600"/>
        </w:tabs>
        <w:ind w:left="3600" w:hanging="360"/>
      </w:pPr>
      <w:rPr>
        <w:rFonts w:ascii="Arial" w:hAnsi="Arial" w:hint="default"/>
      </w:rPr>
    </w:lvl>
    <w:lvl w:ilvl="5" w:tplc="0F129574" w:tentative="1">
      <w:start w:val="1"/>
      <w:numFmt w:val="bullet"/>
      <w:lvlText w:val="•"/>
      <w:lvlJc w:val="left"/>
      <w:pPr>
        <w:tabs>
          <w:tab w:val="num" w:pos="4320"/>
        </w:tabs>
        <w:ind w:left="4320" w:hanging="360"/>
      </w:pPr>
      <w:rPr>
        <w:rFonts w:ascii="Arial" w:hAnsi="Arial" w:hint="default"/>
      </w:rPr>
    </w:lvl>
    <w:lvl w:ilvl="6" w:tplc="00C4BCB2" w:tentative="1">
      <w:start w:val="1"/>
      <w:numFmt w:val="bullet"/>
      <w:lvlText w:val="•"/>
      <w:lvlJc w:val="left"/>
      <w:pPr>
        <w:tabs>
          <w:tab w:val="num" w:pos="5040"/>
        </w:tabs>
        <w:ind w:left="5040" w:hanging="360"/>
      </w:pPr>
      <w:rPr>
        <w:rFonts w:ascii="Arial" w:hAnsi="Arial" w:hint="default"/>
      </w:rPr>
    </w:lvl>
    <w:lvl w:ilvl="7" w:tplc="8DDC975E" w:tentative="1">
      <w:start w:val="1"/>
      <w:numFmt w:val="bullet"/>
      <w:lvlText w:val="•"/>
      <w:lvlJc w:val="left"/>
      <w:pPr>
        <w:tabs>
          <w:tab w:val="num" w:pos="5760"/>
        </w:tabs>
        <w:ind w:left="5760" w:hanging="360"/>
      </w:pPr>
      <w:rPr>
        <w:rFonts w:ascii="Arial" w:hAnsi="Arial" w:hint="default"/>
      </w:rPr>
    </w:lvl>
    <w:lvl w:ilvl="8" w:tplc="9B9645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9F2BC9"/>
    <w:multiLevelType w:val="hybridMultilevel"/>
    <w:tmpl w:val="0F9C59AC"/>
    <w:lvl w:ilvl="0" w:tplc="B8FC4E98">
      <w:start w:val="1"/>
      <w:numFmt w:val="bullet"/>
      <w:lvlText w:val="•"/>
      <w:lvlJc w:val="left"/>
      <w:pPr>
        <w:tabs>
          <w:tab w:val="num" w:pos="720"/>
        </w:tabs>
        <w:ind w:left="720" w:hanging="360"/>
      </w:pPr>
      <w:rPr>
        <w:rFonts w:ascii="Arial" w:hAnsi="Arial" w:hint="default"/>
      </w:rPr>
    </w:lvl>
    <w:lvl w:ilvl="1" w:tplc="A8BE2822">
      <w:start w:val="270"/>
      <w:numFmt w:val="bullet"/>
      <w:lvlText w:val="–"/>
      <w:lvlJc w:val="left"/>
      <w:pPr>
        <w:tabs>
          <w:tab w:val="num" w:pos="1440"/>
        </w:tabs>
        <w:ind w:left="1440" w:hanging="360"/>
      </w:pPr>
      <w:rPr>
        <w:rFonts w:ascii="Arial" w:hAnsi="Arial" w:hint="default"/>
      </w:rPr>
    </w:lvl>
    <w:lvl w:ilvl="2" w:tplc="12E63FC6" w:tentative="1">
      <w:start w:val="1"/>
      <w:numFmt w:val="bullet"/>
      <w:lvlText w:val="•"/>
      <w:lvlJc w:val="left"/>
      <w:pPr>
        <w:tabs>
          <w:tab w:val="num" w:pos="2160"/>
        </w:tabs>
        <w:ind w:left="2160" w:hanging="360"/>
      </w:pPr>
      <w:rPr>
        <w:rFonts w:ascii="Arial" w:hAnsi="Arial" w:hint="default"/>
      </w:rPr>
    </w:lvl>
    <w:lvl w:ilvl="3" w:tplc="0A6AFD2E" w:tentative="1">
      <w:start w:val="1"/>
      <w:numFmt w:val="bullet"/>
      <w:lvlText w:val="•"/>
      <w:lvlJc w:val="left"/>
      <w:pPr>
        <w:tabs>
          <w:tab w:val="num" w:pos="2880"/>
        </w:tabs>
        <w:ind w:left="2880" w:hanging="360"/>
      </w:pPr>
      <w:rPr>
        <w:rFonts w:ascii="Arial" w:hAnsi="Arial" w:hint="default"/>
      </w:rPr>
    </w:lvl>
    <w:lvl w:ilvl="4" w:tplc="8DF6A688" w:tentative="1">
      <w:start w:val="1"/>
      <w:numFmt w:val="bullet"/>
      <w:lvlText w:val="•"/>
      <w:lvlJc w:val="left"/>
      <w:pPr>
        <w:tabs>
          <w:tab w:val="num" w:pos="3600"/>
        </w:tabs>
        <w:ind w:left="3600" w:hanging="360"/>
      </w:pPr>
      <w:rPr>
        <w:rFonts w:ascii="Arial" w:hAnsi="Arial" w:hint="default"/>
      </w:rPr>
    </w:lvl>
    <w:lvl w:ilvl="5" w:tplc="23CCA0C6" w:tentative="1">
      <w:start w:val="1"/>
      <w:numFmt w:val="bullet"/>
      <w:lvlText w:val="•"/>
      <w:lvlJc w:val="left"/>
      <w:pPr>
        <w:tabs>
          <w:tab w:val="num" w:pos="4320"/>
        </w:tabs>
        <w:ind w:left="4320" w:hanging="360"/>
      </w:pPr>
      <w:rPr>
        <w:rFonts w:ascii="Arial" w:hAnsi="Arial" w:hint="default"/>
      </w:rPr>
    </w:lvl>
    <w:lvl w:ilvl="6" w:tplc="7E7852CE" w:tentative="1">
      <w:start w:val="1"/>
      <w:numFmt w:val="bullet"/>
      <w:lvlText w:val="•"/>
      <w:lvlJc w:val="left"/>
      <w:pPr>
        <w:tabs>
          <w:tab w:val="num" w:pos="5040"/>
        </w:tabs>
        <w:ind w:left="5040" w:hanging="360"/>
      </w:pPr>
      <w:rPr>
        <w:rFonts w:ascii="Arial" w:hAnsi="Arial" w:hint="default"/>
      </w:rPr>
    </w:lvl>
    <w:lvl w:ilvl="7" w:tplc="1B26ECAC" w:tentative="1">
      <w:start w:val="1"/>
      <w:numFmt w:val="bullet"/>
      <w:lvlText w:val="•"/>
      <w:lvlJc w:val="left"/>
      <w:pPr>
        <w:tabs>
          <w:tab w:val="num" w:pos="5760"/>
        </w:tabs>
        <w:ind w:left="5760" w:hanging="360"/>
      </w:pPr>
      <w:rPr>
        <w:rFonts w:ascii="Arial" w:hAnsi="Arial" w:hint="default"/>
      </w:rPr>
    </w:lvl>
    <w:lvl w:ilvl="8" w:tplc="415268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3C1DD0"/>
    <w:multiLevelType w:val="hybridMultilevel"/>
    <w:tmpl w:val="FAB0D1B8"/>
    <w:lvl w:ilvl="0" w:tplc="83167502">
      <w:start w:val="1"/>
      <w:numFmt w:val="bullet"/>
      <w:lvlText w:val="•"/>
      <w:lvlJc w:val="left"/>
      <w:pPr>
        <w:tabs>
          <w:tab w:val="num" w:pos="720"/>
        </w:tabs>
        <w:ind w:left="720" w:hanging="360"/>
      </w:pPr>
      <w:rPr>
        <w:rFonts w:ascii="Arial" w:hAnsi="Arial" w:hint="default"/>
      </w:rPr>
    </w:lvl>
    <w:lvl w:ilvl="1" w:tplc="48A44672">
      <w:start w:val="270"/>
      <w:numFmt w:val="bullet"/>
      <w:lvlText w:val="–"/>
      <w:lvlJc w:val="left"/>
      <w:pPr>
        <w:tabs>
          <w:tab w:val="num" w:pos="1440"/>
        </w:tabs>
        <w:ind w:left="1440" w:hanging="360"/>
      </w:pPr>
      <w:rPr>
        <w:rFonts w:ascii="Arial" w:hAnsi="Arial" w:hint="default"/>
      </w:rPr>
    </w:lvl>
    <w:lvl w:ilvl="2" w:tplc="EA8CAC9A" w:tentative="1">
      <w:start w:val="1"/>
      <w:numFmt w:val="bullet"/>
      <w:lvlText w:val="•"/>
      <w:lvlJc w:val="left"/>
      <w:pPr>
        <w:tabs>
          <w:tab w:val="num" w:pos="2160"/>
        </w:tabs>
        <w:ind w:left="2160" w:hanging="360"/>
      </w:pPr>
      <w:rPr>
        <w:rFonts w:ascii="Arial" w:hAnsi="Arial" w:hint="default"/>
      </w:rPr>
    </w:lvl>
    <w:lvl w:ilvl="3" w:tplc="01E042C4" w:tentative="1">
      <w:start w:val="1"/>
      <w:numFmt w:val="bullet"/>
      <w:lvlText w:val="•"/>
      <w:lvlJc w:val="left"/>
      <w:pPr>
        <w:tabs>
          <w:tab w:val="num" w:pos="2880"/>
        </w:tabs>
        <w:ind w:left="2880" w:hanging="360"/>
      </w:pPr>
      <w:rPr>
        <w:rFonts w:ascii="Arial" w:hAnsi="Arial" w:hint="default"/>
      </w:rPr>
    </w:lvl>
    <w:lvl w:ilvl="4" w:tplc="EFE83750" w:tentative="1">
      <w:start w:val="1"/>
      <w:numFmt w:val="bullet"/>
      <w:lvlText w:val="•"/>
      <w:lvlJc w:val="left"/>
      <w:pPr>
        <w:tabs>
          <w:tab w:val="num" w:pos="3600"/>
        </w:tabs>
        <w:ind w:left="3600" w:hanging="360"/>
      </w:pPr>
      <w:rPr>
        <w:rFonts w:ascii="Arial" w:hAnsi="Arial" w:hint="default"/>
      </w:rPr>
    </w:lvl>
    <w:lvl w:ilvl="5" w:tplc="81FE54CC" w:tentative="1">
      <w:start w:val="1"/>
      <w:numFmt w:val="bullet"/>
      <w:lvlText w:val="•"/>
      <w:lvlJc w:val="left"/>
      <w:pPr>
        <w:tabs>
          <w:tab w:val="num" w:pos="4320"/>
        </w:tabs>
        <w:ind w:left="4320" w:hanging="360"/>
      </w:pPr>
      <w:rPr>
        <w:rFonts w:ascii="Arial" w:hAnsi="Arial" w:hint="default"/>
      </w:rPr>
    </w:lvl>
    <w:lvl w:ilvl="6" w:tplc="780A7C2E" w:tentative="1">
      <w:start w:val="1"/>
      <w:numFmt w:val="bullet"/>
      <w:lvlText w:val="•"/>
      <w:lvlJc w:val="left"/>
      <w:pPr>
        <w:tabs>
          <w:tab w:val="num" w:pos="5040"/>
        </w:tabs>
        <w:ind w:left="5040" w:hanging="360"/>
      </w:pPr>
      <w:rPr>
        <w:rFonts w:ascii="Arial" w:hAnsi="Arial" w:hint="default"/>
      </w:rPr>
    </w:lvl>
    <w:lvl w:ilvl="7" w:tplc="98AC9EC8" w:tentative="1">
      <w:start w:val="1"/>
      <w:numFmt w:val="bullet"/>
      <w:lvlText w:val="•"/>
      <w:lvlJc w:val="left"/>
      <w:pPr>
        <w:tabs>
          <w:tab w:val="num" w:pos="5760"/>
        </w:tabs>
        <w:ind w:left="5760" w:hanging="360"/>
      </w:pPr>
      <w:rPr>
        <w:rFonts w:ascii="Arial" w:hAnsi="Arial" w:hint="default"/>
      </w:rPr>
    </w:lvl>
    <w:lvl w:ilvl="8" w:tplc="E6B2DF4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0"/>
  </w:num>
  <w:num w:numId="8">
    <w:abstractNumId w:val="7"/>
  </w:num>
  <w:num w:numId="9">
    <w:abstractNumId w:val="13"/>
  </w:num>
  <w:num w:numId="10">
    <w:abstractNumId w:val="6"/>
  </w:num>
  <w:num w:numId="11">
    <w:abstractNumId w:val="9"/>
  </w:num>
  <w:num w:numId="12">
    <w:abstractNumId w:val="12"/>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C5"/>
    <w:rsid w:val="000011D6"/>
    <w:rsid w:val="0000772E"/>
    <w:rsid w:val="00016960"/>
    <w:rsid w:val="00031403"/>
    <w:rsid w:val="00072E8A"/>
    <w:rsid w:val="000829B6"/>
    <w:rsid w:val="000952BA"/>
    <w:rsid w:val="00097D67"/>
    <w:rsid w:val="000A2241"/>
    <w:rsid w:val="000A41DA"/>
    <w:rsid w:val="000B6B83"/>
    <w:rsid w:val="000B6E8F"/>
    <w:rsid w:val="000C4721"/>
    <w:rsid w:val="000E58E3"/>
    <w:rsid w:val="000E7000"/>
    <w:rsid w:val="00103F2D"/>
    <w:rsid w:val="00114791"/>
    <w:rsid w:val="00117D99"/>
    <w:rsid w:val="00131A2F"/>
    <w:rsid w:val="00147F15"/>
    <w:rsid w:val="00152E5F"/>
    <w:rsid w:val="00160F6D"/>
    <w:rsid w:val="001646B4"/>
    <w:rsid w:val="00165486"/>
    <w:rsid w:val="00171CE1"/>
    <w:rsid w:val="00174B2A"/>
    <w:rsid w:val="00174E3A"/>
    <w:rsid w:val="0018552B"/>
    <w:rsid w:val="001967D9"/>
    <w:rsid w:val="001A120B"/>
    <w:rsid w:val="001B3201"/>
    <w:rsid w:val="001C6030"/>
    <w:rsid w:val="001C7F63"/>
    <w:rsid w:val="001D6330"/>
    <w:rsid w:val="001F0D79"/>
    <w:rsid w:val="001F43A7"/>
    <w:rsid w:val="001F6F71"/>
    <w:rsid w:val="00200773"/>
    <w:rsid w:val="00201CD4"/>
    <w:rsid w:val="00213456"/>
    <w:rsid w:val="002156D0"/>
    <w:rsid w:val="0023742C"/>
    <w:rsid w:val="00241384"/>
    <w:rsid w:val="0025225F"/>
    <w:rsid w:val="00263BD1"/>
    <w:rsid w:val="00271EF3"/>
    <w:rsid w:val="002738B7"/>
    <w:rsid w:val="00275258"/>
    <w:rsid w:val="0027704D"/>
    <w:rsid w:val="0028174F"/>
    <w:rsid w:val="00283DAB"/>
    <w:rsid w:val="00286A9F"/>
    <w:rsid w:val="0029673A"/>
    <w:rsid w:val="002A15D3"/>
    <w:rsid w:val="002C1141"/>
    <w:rsid w:val="002C7223"/>
    <w:rsid w:val="002D4692"/>
    <w:rsid w:val="002E04ED"/>
    <w:rsid w:val="002E5FD0"/>
    <w:rsid w:val="002F3B37"/>
    <w:rsid w:val="002F6010"/>
    <w:rsid w:val="0032011B"/>
    <w:rsid w:val="003228BC"/>
    <w:rsid w:val="003269E9"/>
    <w:rsid w:val="00333F89"/>
    <w:rsid w:val="003359C4"/>
    <w:rsid w:val="00335DE2"/>
    <w:rsid w:val="00337809"/>
    <w:rsid w:val="0034066F"/>
    <w:rsid w:val="003429D3"/>
    <w:rsid w:val="00344746"/>
    <w:rsid w:val="00347093"/>
    <w:rsid w:val="00353EB7"/>
    <w:rsid w:val="003551A4"/>
    <w:rsid w:val="0035573D"/>
    <w:rsid w:val="003568E5"/>
    <w:rsid w:val="00364CD6"/>
    <w:rsid w:val="00395502"/>
    <w:rsid w:val="003A5FEA"/>
    <w:rsid w:val="003B6F73"/>
    <w:rsid w:val="003C64CC"/>
    <w:rsid w:val="003D23B8"/>
    <w:rsid w:val="003E108D"/>
    <w:rsid w:val="003F0105"/>
    <w:rsid w:val="003F0D3D"/>
    <w:rsid w:val="004066F2"/>
    <w:rsid w:val="00415BC1"/>
    <w:rsid w:val="00427091"/>
    <w:rsid w:val="00430FA7"/>
    <w:rsid w:val="00431C78"/>
    <w:rsid w:val="004329B6"/>
    <w:rsid w:val="00443905"/>
    <w:rsid w:val="00446BCD"/>
    <w:rsid w:val="00447A98"/>
    <w:rsid w:val="0046581C"/>
    <w:rsid w:val="004729CF"/>
    <w:rsid w:val="00481C06"/>
    <w:rsid w:val="004A1D09"/>
    <w:rsid w:val="004A26EF"/>
    <w:rsid w:val="004A2919"/>
    <w:rsid w:val="004A4BE4"/>
    <w:rsid w:val="004A7793"/>
    <w:rsid w:val="004C70AC"/>
    <w:rsid w:val="004D46A9"/>
    <w:rsid w:val="004E01C0"/>
    <w:rsid w:val="004E0D8B"/>
    <w:rsid w:val="004E3995"/>
    <w:rsid w:val="004E3D16"/>
    <w:rsid w:val="004E4A51"/>
    <w:rsid w:val="004E58A8"/>
    <w:rsid w:val="004F0D84"/>
    <w:rsid w:val="004F2D51"/>
    <w:rsid w:val="004F78C1"/>
    <w:rsid w:val="0051795F"/>
    <w:rsid w:val="005237FE"/>
    <w:rsid w:val="005267C3"/>
    <w:rsid w:val="005310F0"/>
    <w:rsid w:val="0053469F"/>
    <w:rsid w:val="00547699"/>
    <w:rsid w:val="005534C6"/>
    <w:rsid w:val="00565D0C"/>
    <w:rsid w:val="0058103D"/>
    <w:rsid w:val="005821E3"/>
    <w:rsid w:val="005D5AF1"/>
    <w:rsid w:val="005E7247"/>
    <w:rsid w:val="005F3194"/>
    <w:rsid w:val="00601AE1"/>
    <w:rsid w:val="00603705"/>
    <w:rsid w:val="00615D18"/>
    <w:rsid w:val="00621A52"/>
    <w:rsid w:val="00631A6A"/>
    <w:rsid w:val="00632483"/>
    <w:rsid w:val="00640EED"/>
    <w:rsid w:val="00641B8A"/>
    <w:rsid w:val="00651E94"/>
    <w:rsid w:val="006613F3"/>
    <w:rsid w:val="0066240D"/>
    <w:rsid w:val="006666E0"/>
    <w:rsid w:val="00670CF0"/>
    <w:rsid w:val="006717BB"/>
    <w:rsid w:val="00680012"/>
    <w:rsid w:val="006876E8"/>
    <w:rsid w:val="00687BD4"/>
    <w:rsid w:val="006909C5"/>
    <w:rsid w:val="00696785"/>
    <w:rsid w:val="006A0A23"/>
    <w:rsid w:val="006A263B"/>
    <w:rsid w:val="006A3A0A"/>
    <w:rsid w:val="006A55B4"/>
    <w:rsid w:val="006A6B8D"/>
    <w:rsid w:val="006C6A07"/>
    <w:rsid w:val="006D1292"/>
    <w:rsid w:val="006D60DA"/>
    <w:rsid w:val="006E20E6"/>
    <w:rsid w:val="006E34EE"/>
    <w:rsid w:val="006F0677"/>
    <w:rsid w:val="006F194D"/>
    <w:rsid w:val="007074B4"/>
    <w:rsid w:val="00711EC7"/>
    <w:rsid w:val="0071605E"/>
    <w:rsid w:val="007276D9"/>
    <w:rsid w:val="00730076"/>
    <w:rsid w:val="00731F97"/>
    <w:rsid w:val="0073484F"/>
    <w:rsid w:val="00734DD6"/>
    <w:rsid w:val="007378D5"/>
    <w:rsid w:val="00737C53"/>
    <w:rsid w:val="007405B2"/>
    <w:rsid w:val="00741B56"/>
    <w:rsid w:val="00753C6F"/>
    <w:rsid w:val="00761B21"/>
    <w:rsid w:val="00783CF2"/>
    <w:rsid w:val="00790258"/>
    <w:rsid w:val="00794F2C"/>
    <w:rsid w:val="007A4425"/>
    <w:rsid w:val="007B459E"/>
    <w:rsid w:val="007B6D6E"/>
    <w:rsid w:val="007D77E8"/>
    <w:rsid w:val="007E5C32"/>
    <w:rsid w:val="007F18D9"/>
    <w:rsid w:val="008002D1"/>
    <w:rsid w:val="0080360A"/>
    <w:rsid w:val="008158A8"/>
    <w:rsid w:val="008342F2"/>
    <w:rsid w:val="00842CC2"/>
    <w:rsid w:val="00867C32"/>
    <w:rsid w:val="00871D50"/>
    <w:rsid w:val="00873BB4"/>
    <w:rsid w:val="0088584B"/>
    <w:rsid w:val="00891D11"/>
    <w:rsid w:val="00894BD6"/>
    <w:rsid w:val="008C238A"/>
    <w:rsid w:val="008C45A7"/>
    <w:rsid w:val="008D205F"/>
    <w:rsid w:val="008E507C"/>
    <w:rsid w:val="008E5909"/>
    <w:rsid w:val="008F27D0"/>
    <w:rsid w:val="008F33F2"/>
    <w:rsid w:val="008F5C05"/>
    <w:rsid w:val="00902215"/>
    <w:rsid w:val="00903221"/>
    <w:rsid w:val="00903C2A"/>
    <w:rsid w:val="00906A02"/>
    <w:rsid w:val="009129BE"/>
    <w:rsid w:val="00925542"/>
    <w:rsid w:val="00930E50"/>
    <w:rsid w:val="0093199F"/>
    <w:rsid w:val="009324B3"/>
    <w:rsid w:val="009479F6"/>
    <w:rsid w:val="00952E9D"/>
    <w:rsid w:val="00961E49"/>
    <w:rsid w:val="009629B6"/>
    <w:rsid w:val="00962D26"/>
    <w:rsid w:val="009632A0"/>
    <w:rsid w:val="009650B4"/>
    <w:rsid w:val="00987975"/>
    <w:rsid w:val="00987D64"/>
    <w:rsid w:val="00991F47"/>
    <w:rsid w:val="009947C3"/>
    <w:rsid w:val="009A02B2"/>
    <w:rsid w:val="009A51F3"/>
    <w:rsid w:val="009A6676"/>
    <w:rsid w:val="009D6047"/>
    <w:rsid w:val="009E0332"/>
    <w:rsid w:val="009E0C8A"/>
    <w:rsid w:val="009F488D"/>
    <w:rsid w:val="009F5775"/>
    <w:rsid w:val="00A0065C"/>
    <w:rsid w:val="00A14B10"/>
    <w:rsid w:val="00A20CCB"/>
    <w:rsid w:val="00A23AA2"/>
    <w:rsid w:val="00A31831"/>
    <w:rsid w:val="00A450EB"/>
    <w:rsid w:val="00A4732A"/>
    <w:rsid w:val="00A574AA"/>
    <w:rsid w:val="00A70825"/>
    <w:rsid w:val="00A708CA"/>
    <w:rsid w:val="00A71791"/>
    <w:rsid w:val="00A767BA"/>
    <w:rsid w:val="00A76F1D"/>
    <w:rsid w:val="00A81C9A"/>
    <w:rsid w:val="00A846C7"/>
    <w:rsid w:val="00A93D0A"/>
    <w:rsid w:val="00A9794C"/>
    <w:rsid w:val="00A97F81"/>
    <w:rsid w:val="00AA5C31"/>
    <w:rsid w:val="00AE4001"/>
    <w:rsid w:val="00AF34EF"/>
    <w:rsid w:val="00B11774"/>
    <w:rsid w:val="00B16C0A"/>
    <w:rsid w:val="00B2056A"/>
    <w:rsid w:val="00B407FB"/>
    <w:rsid w:val="00B4577F"/>
    <w:rsid w:val="00B50C37"/>
    <w:rsid w:val="00B5127E"/>
    <w:rsid w:val="00B51FBC"/>
    <w:rsid w:val="00B52BBE"/>
    <w:rsid w:val="00B5548B"/>
    <w:rsid w:val="00B6241A"/>
    <w:rsid w:val="00B6378E"/>
    <w:rsid w:val="00B70433"/>
    <w:rsid w:val="00B7285E"/>
    <w:rsid w:val="00B74C16"/>
    <w:rsid w:val="00B75B99"/>
    <w:rsid w:val="00B80297"/>
    <w:rsid w:val="00B837E8"/>
    <w:rsid w:val="00B846B7"/>
    <w:rsid w:val="00B90CB2"/>
    <w:rsid w:val="00BA21C4"/>
    <w:rsid w:val="00BA420C"/>
    <w:rsid w:val="00BA5F40"/>
    <w:rsid w:val="00BF223C"/>
    <w:rsid w:val="00BF3409"/>
    <w:rsid w:val="00BF36BB"/>
    <w:rsid w:val="00C15F4E"/>
    <w:rsid w:val="00C178CF"/>
    <w:rsid w:val="00C22F03"/>
    <w:rsid w:val="00C25581"/>
    <w:rsid w:val="00C4012E"/>
    <w:rsid w:val="00C41E2C"/>
    <w:rsid w:val="00C42802"/>
    <w:rsid w:val="00C67AFF"/>
    <w:rsid w:val="00C85D36"/>
    <w:rsid w:val="00C87BCC"/>
    <w:rsid w:val="00C9389E"/>
    <w:rsid w:val="00CB6C44"/>
    <w:rsid w:val="00CC1180"/>
    <w:rsid w:val="00CC6421"/>
    <w:rsid w:val="00CC7218"/>
    <w:rsid w:val="00CD1427"/>
    <w:rsid w:val="00CD1C08"/>
    <w:rsid w:val="00CD7C7B"/>
    <w:rsid w:val="00CE5C01"/>
    <w:rsid w:val="00CE7664"/>
    <w:rsid w:val="00D0489E"/>
    <w:rsid w:val="00D058F3"/>
    <w:rsid w:val="00D0665A"/>
    <w:rsid w:val="00D1565F"/>
    <w:rsid w:val="00D26142"/>
    <w:rsid w:val="00D263B0"/>
    <w:rsid w:val="00D324DA"/>
    <w:rsid w:val="00D43925"/>
    <w:rsid w:val="00D47C2B"/>
    <w:rsid w:val="00D6203F"/>
    <w:rsid w:val="00D645A8"/>
    <w:rsid w:val="00D714F4"/>
    <w:rsid w:val="00D726BB"/>
    <w:rsid w:val="00D74488"/>
    <w:rsid w:val="00D76B03"/>
    <w:rsid w:val="00D946B6"/>
    <w:rsid w:val="00D956EB"/>
    <w:rsid w:val="00D960D3"/>
    <w:rsid w:val="00DA366A"/>
    <w:rsid w:val="00DB2F0D"/>
    <w:rsid w:val="00DD1258"/>
    <w:rsid w:val="00DD3DAB"/>
    <w:rsid w:val="00DD3F56"/>
    <w:rsid w:val="00E0309A"/>
    <w:rsid w:val="00E03DF2"/>
    <w:rsid w:val="00E20009"/>
    <w:rsid w:val="00E30362"/>
    <w:rsid w:val="00E34B27"/>
    <w:rsid w:val="00E36867"/>
    <w:rsid w:val="00E40DA3"/>
    <w:rsid w:val="00E44539"/>
    <w:rsid w:val="00E61B08"/>
    <w:rsid w:val="00E64AB6"/>
    <w:rsid w:val="00E6698B"/>
    <w:rsid w:val="00E735A6"/>
    <w:rsid w:val="00E74C8B"/>
    <w:rsid w:val="00E77E62"/>
    <w:rsid w:val="00E77E8E"/>
    <w:rsid w:val="00E804AA"/>
    <w:rsid w:val="00E81DE4"/>
    <w:rsid w:val="00E9375F"/>
    <w:rsid w:val="00EA2A83"/>
    <w:rsid w:val="00EA3584"/>
    <w:rsid w:val="00EA61EF"/>
    <w:rsid w:val="00EA6FEE"/>
    <w:rsid w:val="00EB06F9"/>
    <w:rsid w:val="00EB30F5"/>
    <w:rsid w:val="00EB4EE9"/>
    <w:rsid w:val="00EB719E"/>
    <w:rsid w:val="00ED1E40"/>
    <w:rsid w:val="00ED5919"/>
    <w:rsid w:val="00ED6CD4"/>
    <w:rsid w:val="00EE1C89"/>
    <w:rsid w:val="00EF52E4"/>
    <w:rsid w:val="00EF53B6"/>
    <w:rsid w:val="00EF7C18"/>
    <w:rsid w:val="00F03EFE"/>
    <w:rsid w:val="00F11F28"/>
    <w:rsid w:val="00F13548"/>
    <w:rsid w:val="00F16FD4"/>
    <w:rsid w:val="00F254DD"/>
    <w:rsid w:val="00F361C3"/>
    <w:rsid w:val="00F43076"/>
    <w:rsid w:val="00F47A62"/>
    <w:rsid w:val="00F54BE0"/>
    <w:rsid w:val="00F606A3"/>
    <w:rsid w:val="00F64BFE"/>
    <w:rsid w:val="00F70589"/>
    <w:rsid w:val="00F80C62"/>
    <w:rsid w:val="00F81C1E"/>
    <w:rsid w:val="00F8639C"/>
    <w:rsid w:val="00F93775"/>
    <w:rsid w:val="00FA780A"/>
    <w:rsid w:val="00FB16F6"/>
    <w:rsid w:val="00FC7B4F"/>
    <w:rsid w:val="00FD10E2"/>
    <w:rsid w:val="00FD1754"/>
    <w:rsid w:val="00FE53EB"/>
    <w:rsid w:val="00FE5E2F"/>
    <w:rsid w:val="00FF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CCD6"/>
  <w15:docId w15:val="{F0BA3722-D137-41EF-993D-F680FD6A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qFormat="1"/>
    <w:lsdException w:name="Default Paragraph Font" w:semiHidden="1" w:uiPriority="1" w:unhideWhenUsed="1"/>
    <w:lsdException w:name="Body Text" w:uiPriority="1" w:qFormat="1"/>
    <w:lsdException w:name="Body Text Indent"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uiPriority="1" w:qFormat="1"/>
    <w:lsdException w:name="Body Text First Indent 2" w:uiPriority="1" w:qFormat="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uiPriority="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BE4"/>
    <w:pPr>
      <w:spacing w:after="0" w:line="240" w:lineRule="auto"/>
      <w:jc w:val="both"/>
    </w:pPr>
    <w:rPr>
      <w:sz w:val="24"/>
    </w:rPr>
  </w:style>
  <w:style w:type="paragraph" w:styleId="Heading1">
    <w:name w:val="heading 1"/>
    <w:basedOn w:val="Normal"/>
    <w:next w:val="Normal"/>
    <w:link w:val="Heading1Char"/>
    <w:uiPriority w:val="9"/>
    <w:qFormat/>
    <w:rsid w:val="00711EC7"/>
    <w:pPr>
      <w:spacing w:before="48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qFormat/>
    <w:rsid w:val="00711EC7"/>
    <w:pPr>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qFormat/>
    <w:rsid w:val="00615D1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711EC7"/>
    <w:p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rsid w:val="00615D1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rsid w:val="00615D1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5D1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5D1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5D1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EC7"/>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711EC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A5C3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11EC7"/>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615D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5D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5D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5D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5D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D1292"/>
    <w:pPr>
      <w:spacing w:after="240"/>
      <w:contextualSpacing/>
      <w:jc w:val="center"/>
    </w:pPr>
    <w:rPr>
      <w:rFonts w:asciiTheme="majorHAnsi" w:eastAsiaTheme="majorEastAsia" w:hAnsiTheme="majorHAnsi" w:cstheme="majorBidi"/>
      <w:b/>
      <w:spacing w:val="5"/>
      <w:szCs w:val="52"/>
    </w:rPr>
  </w:style>
  <w:style w:type="character" w:customStyle="1" w:styleId="TitleChar">
    <w:name w:val="Title Char"/>
    <w:basedOn w:val="DefaultParagraphFont"/>
    <w:link w:val="Title"/>
    <w:uiPriority w:val="10"/>
    <w:rsid w:val="006D1292"/>
    <w:rPr>
      <w:rFonts w:asciiTheme="majorHAnsi" w:eastAsiaTheme="majorEastAsia" w:hAnsiTheme="majorHAnsi" w:cstheme="majorBidi"/>
      <w:b/>
      <w:spacing w:val="5"/>
      <w:sz w:val="24"/>
      <w:szCs w:val="52"/>
    </w:rPr>
  </w:style>
  <w:style w:type="paragraph" w:styleId="Subtitle">
    <w:name w:val="Subtitle"/>
    <w:basedOn w:val="Normal"/>
    <w:next w:val="Normal"/>
    <w:link w:val="SubtitleChar"/>
    <w:uiPriority w:val="11"/>
    <w:rsid w:val="00615D1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15D18"/>
    <w:rPr>
      <w:rFonts w:asciiTheme="majorHAnsi" w:eastAsiaTheme="majorEastAsia" w:hAnsiTheme="majorHAnsi" w:cstheme="majorBidi"/>
      <w:i/>
      <w:iCs/>
      <w:spacing w:val="13"/>
      <w:sz w:val="24"/>
      <w:szCs w:val="24"/>
    </w:rPr>
  </w:style>
  <w:style w:type="character" w:styleId="Strong">
    <w:name w:val="Strong"/>
    <w:uiPriority w:val="22"/>
    <w:qFormat/>
    <w:rsid w:val="00615D18"/>
    <w:rPr>
      <w:b/>
      <w:bCs/>
    </w:rPr>
  </w:style>
  <w:style w:type="character" w:styleId="Emphasis">
    <w:name w:val="Emphasis"/>
    <w:uiPriority w:val="20"/>
    <w:qFormat/>
    <w:rsid w:val="00615D18"/>
    <w:rPr>
      <w:b/>
      <w:bCs/>
      <w:i/>
      <w:iCs/>
      <w:spacing w:val="10"/>
      <w:bdr w:val="none" w:sz="0" w:space="0" w:color="auto"/>
      <w:shd w:val="clear" w:color="auto" w:fill="auto"/>
    </w:rPr>
  </w:style>
  <w:style w:type="paragraph" w:styleId="NoSpacing">
    <w:name w:val="No Spacing"/>
    <w:basedOn w:val="Normal"/>
    <w:qFormat/>
    <w:rsid w:val="00615D18"/>
  </w:style>
  <w:style w:type="paragraph" w:styleId="ListParagraph">
    <w:name w:val="List Paragraph"/>
    <w:basedOn w:val="Normal"/>
    <w:uiPriority w:val="34"/>
    <w:unhideWhenUsed/>
    <w:qFormat/>
    <w:rsid w:val="00615D18"/>
    <w:pPr>
      <w:ind w:left="720"/>
      <w:contextualSpacing/>
    </w:pPr>
  </w:style>
  <w:style w:type="paragraph" w:styleId="Quote">
    <w:name w:val="Quote"/>
    <w:basedOn w:val="Normal"/>
    <w:next w:val="Normal"/>
    <w:link w:val="QuoteChar"/>
    <w:uiPriority w:val="29"/>
    <w:unhideWhenUsed/>
    <w:rsid w:val="00615D18"/>
    <w:pPr>
      <w:spacing w:before="200"/>
      <w:ind w:left="360" w:right="360"/>
    </w:pPr>
    <w:rPr>
      <w:i/>
      <w:iCs/>
    </w:rPr>
  </w:style>
  <w:style w:type="character" w:customStyle="1" w:styleId="QuoteChar">
    <w:name w:val="Quote Char"/>
    <w:basedOn w:val="DefaultParagraphFont"/>
    <w:link w:val="Quote"/>
    <w:uiPriority w:val="29"/>
    <w:rsid w:val="00AA5C31"/>
    <w:rPr>
      <w:i/>
      <w:iCs/>
    </w:rPr>
  </w:style>
  <w:style w:type="paragraph" w:styleId="IntenseQuote">
    <w:name w:val="Intense Quote"/>
    <w:basedOn w:val="Normal"/>
    <w:next w:val="Normal"/>
    <w:link w:val="IntenseQuoteChar"/>
    <w:uiPriority w:val="30"/>
    <w:unhideWhenUsed/>
    <w:rsid w:val="00615D18"/>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A5C31"/>
    <w:rPr>
      <w:b/>
      <w:bCs/>
      <w:i/>
      <w:iCs/>
    </w:rPr>
  </w:style>
  <w:style w:type="character" w:styleId="SubtleEmphasis">
    <w:name w:val="Subtle Emphasis"/>
    <w:uiPriority w:val="19"/>
    <w:unhideWhenUsed/>
    <w:rsid w:val="00615D18"/>
    <w:rPr>
      <w:i/>
      <w:iCs/>
    </w:rPr>
  </w:style>
  <w:style w:type="character" w:styleId="IntenseEmphasis">
    <w:name w:val="Intense Emphasis"/>
    <w:uiPriority w:val="21"/>
    <w:unhideWhenUsed/>
    <w:rsid w:val="00615D18"/>
    <w:rPr>
      <w:b/>
      <w:bCs/>
    </w:rPr>
  </w:style>
  <w:style w:type="character" w:styleId="SubtleReference">
    <w:name w:val="Subtle Reference"/>
    <w:uiPriority w:val="31"/>
    <w:unhideWhenUsed/>
    <w:rsid w:val="00615D18"/>
    <w:rPr>
      <w:smallCaps/>
    </w:rPr>
  </w:style>
  <w:style w:type="character" w:styleId="IntenseReference">
    <w:name w:val="Intense Reference"/>
    <w:uiPriority w:val="32"/>
    <w:unhideWhenUsed/>
    <w:rsid w:val="00615D18"/>
    <w:rPr>
      <w:smallCaps/>
      <w:spacing w:val="5"/>
      <w:u w:val="single"/>
    </w:rPr>
  </w:style>
  <w:style w:type="character" w:styleId="BookTitle">
    <w:name w:val="Book Title"/>
    <w:uiPriority w:val="33"/>
    <w:unhideWhenUsed/>
    <w:rsid w:val="00615D18"/>
    <w:rPr>
      <w:i/>
      <w:iCs/>
      <w:smallCaps/>
      <w:spacing w:val="5"/>
    </w:rPr>
  </w:style>
  <w:style w:type="paragraph" w:styleId="TOCHeading">
    <w:name w:val="TOC Heading"/>
    <w:basedOn w:val="Heading1"/>
    <w:next w:val="Normal"/>
    <w:uiPriority w:val="39"/>
    <w:semiHidden/>
    <w:unhideWhenUsed/>
    <w:qFormat/>
    <w:rsid w:val="00615D18"/>
    <w:pPr>
      <w:outlineLvl w:val="9"/>
    </w:pPr>
    <w:rPr>
      <w:lang w:bidi="en-US"/>
    </w:rPr>
  </w:style>
  <w:style w:type="paragraph" w:styleId="BlockText">
    <w:name w:val="Block Text"/>
    <w:basedOn w:val="Normal"/>
    <w:uiPriority w:val="1"/>
    <w:qFormat/>
    <w:rsid w:val="000829B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40"/>
      <w:ind w:left="1440" w:right="1440"/>
    </w:pPr>
    <w:rPr>
      <w:rFonts w:eastAsiaTheme="minorEastAsia"/>
      <w:iCs/>
    </w:rPr>
  </w:style>
  <w:style w:type="paragraph" w:styleId="BodyText">
    <w:name w:val="Body Text"/>
    <w:basedOn w:val="Normal"/>
    <w:link w:val="BodyTextChar"/>
    <w:uiPriority w:val="1"/>
    <w:qFormat/>
    <w:rsid w:val="006A6B8D"/>
    <w:pPr>
      <w:spacing w:after="240"/>
    </w:pPr>
  </w:style>
  <w:style w:type="character" w:customStyle="1" w:styleId="BodyTextChar">
    <w:name w:val="Body Text Char"/>
    <w:basedOn w:val="DefaultParagraphFont"/>
    <w:link w:val="BodyText"/>
    <w:uiPriority w:val="1"/>
    <w:rsid w:val="006A6B8D"/>
    <w:rPr>
      <w:sz w:val="24"/>
    </w:rPr>
  </w:style>
  <w:style w:type="paragraph" w:styleId="BodyText2">
    <w:name w:val="Body Text 2"/>
    <w:basedOn w:val="Normal"/>
    <w:link w:val="BodyText2Char"/>
    <w:uiPriority w:val="1"/>
    <w:qFormat/>
    <w:rsid w:val="006A6B8D"/>
    <w:pPr>
      <w:spacing w:line="480" w:lineRule="auto"/>
    </w:pPr>
  </w:style>
  <w:style w:type="character" w:customStyle="1" w:styleId="BodyText2Char">
    <w:name w:val="Body Text 2 Char"/>
    <w:basedOn w:val="DefaultParagraphFont"/>
    <w:link w:val="BodyText2"/>
    <w:uiPriority w:val="1"/>
    <w:rsid w:val="006A6B8D"/>
    <w:rPr>
      <w:sz w:val="24"/>
    </w:rPr>
  </w:style>
  <w:style w:type="paragraph" w:styleId="BodyText3">
    <w:name w:val="Body Text 3"/>
    <w:basedOn w:val="Normal"/>
    <w:link w:val="BodyText3Char"/>
    <w:uiPriority w:val="1"/>
    <w:qFormat/>
    <w:rsid w:val="006A6B8D"/>
    <w:pPr>
      <w:spacing w:line="360" w:lineRule="auto"/>
    </w:pPr>
    <w:rPr>
      <w:szCs w:val="16"/>
    </w:rPr>
  </w:style>
  <w:style w:type="character" w:customStyle="1" w:styleId="BodyText3Char">
    <w:name w:val="Body Text 3 Char"/>
    <w:basedOn w:val="DefaultParagraphFont"/>
    <w:link w:val="BodyText3"/>
    <w:uiPriority w:val="1"/>
    <w:rsid w:val="006A6B8D"/>
    <w:rPr>
      <w:sz w:val="24"/>
      <w:szCs w:val="16"/>
    </w:rPr>
  </w:style>
  <w:style w:type="paragraph" w:styleId="BodyTextFirstIndent">
    <w:name w:val="Body Text First Indent"/>
    <w:basedOn w:val="BodyText"/>
    <w:link w:val="BodyTextFirstIndentChar"/>
    <w:uiPriority w:val="1"/>
    <w:qFormat/>
    <w:rsid w:val="006A6B8D"/>
    <w:pPr>
      <w:ind w:firstLine="720"/>
    </w:pPr>
  </w:style>
  <w:style w:type="character" w:customStyle="1" w:styleId="BodyTextFirstIndentChar">
    <w:name w:val="Body Text First Indent Char"/>
    <w:basedOn w:val="BodyTextChar"/>
    <w:link w:val="BodyTextFirstIndent"/>
    <w:uiPriority w:val="1"/>
    <w:rsid w:val="006A6B8D"/>
    <w:rPr>
      <w:sz w:val="24"/>
    </w:rPr>
  </w:style>
  <w:style w:type="paragraph" w:styleId="BodyTextIndent">
    <w:name w:val="Body Text Indent"/>
    <w:basedOn w:val="Normal"/>
    <w:link w:val="BodyTextIndentChar"/>
    <w:uiPriority w:val="1"/>
    <w:qFormat/>
    <w:rsid w:val="006A6B8D"/>
    <w:pPr>
      <w:spacing w:after="240"/>
      <w:ind w:left="720" w:right="720"/>
    </w:pPr>
  </w:style>
  <w:style w:type="character" w:customStyle="1" w:styleId="BodyTextIndentChar">
    <w:name w:val="Body Text Indent Char"/>
    <w:basedOn w:val="DefaultParagraphFont"/>
    <w:link w:val="BodyTextIndent"/>
    <w:uiPriority w:val="1"/>
    <w:rsid w:val="006A6B8D"/>
    <w:rPr>
      <w:sz w:val="24"/>
    </w:rPr>
  </w:style>
  <w:style w:type="paragraph" w:styleId="BodyTextFirstIndent2">
    <w:name w:val="Body Text First Indent 2"/>
    <w:basedOn w:val="BodyText"/>
    <w:link w:val="BodyTextFirstIndent2Char"/>
    <w:uiPriority w:val="1"/>
    <w:qFormat/>
    <w:rsid w:val="006A6B8D"/>
    <w:pPr>
      <w:spacing w:after="0" w:line="480" w:lineRule="auto"/>
      <w:ind w:firstLine="720"/>
    </w:pPr>
  </w:style>
  <w:style w:type="character" w:customStyle="1" w:styleId="BodyTextFirstIndent2Char">
    <w:name w:val="Body Text First Indent 2 Char"/>
    <w:basedOn w:val="BodyTextIndentChar"/>
    <w:link w:val="BodyTextFirstIndent2"/>
    <w:uiPriority w:val="1"/>
    <w:rsid w:val="006A6B8D"/>
    <w:rPr>
      <w:sz w:val="24"/>
    </w:rPr>
  </w:style>
  <w:style w:type="paragraph" w:styleId="ListBullet">
    <w:name w:val="List Bullet"/>
    <w:basedOn w:val="Normal"/>
    <w:uiPriority w:val="99"/>
    <w:qFormat/>
    <w:rsid w:val="004A4BE4"/>
    <w:pPr>
      <w:numPr>
        <w:numId w:val="1"/>
      </w:numPr>
      <w:contextualSpacing/>
    </w:pPr>
  </w:style>
  <w:style w:type="paragraph" w:styleId="ListBullet2">
    <w:name w:val="List Bullet 2"/>
    <w:basedOn w:val="Normal"/>
    <w:uiPriority w:val="99"/>
    <w:rsid w:val="004A4BE4"/>
    <w:pPr>
      <w:numPr>
        <w:numId w:val="2"/>
      </w:numPr>
      <w:contextualSpacing/>
    </w:pPr>
  </w:style>
  <w:style w:type="paragraph" w:styleId="ListNumber">
    <w:name w:val="List Number"/>
    <w:basedOn w:val="Normal"/>
    <w:uiPriority w:val="99"/>
    <w:qFormat/>
    <w:rsid w:val="004A4BE4"/>
    <w:pPr>
      <w:numPr>
        <w:numId w:val="4"/>
      </w:numPr>
      <w:contextualSpacing/>
    </w:pPr>
  </w:style>
  <w:style w:type="paragraph" w:styleId="ListBullet3">
    <w:name w:val="List Bullet 3"/>
    <w:basedOn w:val="Normal"/>
    <w:uiPriority w:val="99"/>
    <w:rsid w:val="004A4BE4"/>
    <w:pPr>
      <w:numPr>
        <w:numId w:val="3"/>
      </w:numPr>
      <w:contextualSpacing/>
    </w:pPr>
  </w:style>
  <w:style w:type="paragraph" w:styleId="ListNumber2">
    <w:name w:val="List Number 2"/>
    <w:basedOn w:val="Normal"/>
    <w:uiPriority w:val="99"/>
    <w:rsid w:val="004A4BE4"/>
    <w:pPr>
      <w:numPr>
        <w:numId w:val="5"/>
      </w:numPr>
      <w:contextualSpacing/>
    </w:pPr>
  </w:style>
  <w:style w:type="paragraph" w:styleId="ListNumber3">
    <w:name w:val="List Number 3"/>
    <w:basedOn w:val="Normal"/>
    <w:uiPriority w:val="99"/>
    <w:rsid w:val="004A4BE4"/>
    <w:pPr>
      <w:numPr>
        <w:numId w:val="6"/>
      </w:numPr>
      <w:contextualSpacing/>
    </w:pPr>
  </w:style>
  <w:style w:type="paragraph" w:styleId="Signature">
    <w:name w:val="Signature"/>
    <w:basedOn w:val="Normal"/>
    <w:link w:val="SignatureChar"/>
    <w:uiPriority w:val="99"/>
    <w:qFormat/>
    <w:rsid w:val="004A4BE4"/>
    <w:pPr>
      <w:ind w:left="4320"/>
    </w:pPr>
  </w:style>
  <w:style w:type="character" w:customStyle="1" w:styleId="SignatureChar">
    <w:name w:val="Signature Char"/>
    <w:basedOn w:val="DefaultParagraphFont"/>
    <w:link w:val="Signature"/>
    <w:uiPriority w:val="99"/>
    <w:rsid w:val="004A4BE4"/>
    <w:rPr>
      <w:sz w:val="24"/>
    </w:rPr>
  </w:style>
  <w:style w:type="character" w:styleId="Hyperlink">
    <w:name w:val="Hyperlink"/>
    <w:basedOn w:val="DefaultParagraphFont"/>
    <w:rsid w:val="0073484F"/>
    <w:rPr>
      <w:color w:val="0000FF" w:themeColor="hyperlink"/>
      <w:u w:val="single"/>
    </w:rPr>
  </w:style>
  <w:style w:type="paragraph" w:styleId="Header">
    <w:name w:val="header"/>
    <w:basedOn w:val="Normal"/>
    <w:link w:val="HeaderChar"/>
    <w:uiPriority w:val="99"/>
    <w:unhideWhenUsed/>
    <w:rsid w:val="00902215"/>
    <w:pPr>
      <w:tabs>
        <w:tab w:val="center" w:pos="4680"/>
        <w:tab w:val="right" w:pos="9360"/>
      </w:tabs>
    </w:pPr>
  </w:style>
  <w:style w:type="character" w:customStyle="1" w:styleId="HeaderChar">
    <w:name w:val="Header Char"/>
    <w:basedOn w:val="DefaultParagraphFont"/>
    <w:link w:val="Header"/>
    <w:uiPriority w:val="99"/>
    <w:rsid w:val="00902215"/>
    <w:rPr>
      <w:sz w:val="24"/>
    </w:rPr>
  </w:style>
  <w:style w:type="paragraph" w:styleId="Footer">
    <w:name w:val="footer"/>
    <w:basedOn w:val="Normal"/>
    <w:link w:val="FooterChar"/>
    <w:uiPriority w:val="99"/>
    <w:unhideWhenUsed/>
    <w:rsid w:val="00902215"/>
    <w:pPr>
      <w:tabs>
        <w:tab w:val="center" w:pos="4680"/>
        <w:tab w:val="right" w:pos="9360"/>
      </w:tabs>
    </w:pPr>
  </w:style>
  <w:style w:type="character" w:customStyle="1" w:styleId="FooterChar">
    <w:name w:val="Footer Char"/>
    <w:basedOn w:val="DefaultParagraphFont"/>
    <w:link w:val="Footer"/>
    <w:uiPriority w:val="99"/>
    <w:rsid w:val="00902215"/>
    <w:rPr>
      <w:sz w:val="24"/>
    </w:rPr>
  </w:style>
  <w:style w:type="character" w:styleId="CommentReference">
    <w:name w:val="annotation reference"/>
    <w:basedOn w:val="DefaultParagraphFont"/>
    <w:uiPriority w:val="99"/>
    <w:semiHidden/>
    <w:unhideWhenUsed/>
    <w:rsid w:val="009A51F3"/>
    <w:rPr>
      <w:sz w:val="16"/>
      <w:szCs w:val="16"/>
    </w:rPr>
  </w:style>
  <w:style w:type="paragraph" w:styleId="CommentText">
    <w:name w:val="annotation text"/>
    <w:basedOn w:val="Normal"/>
    <w:link w:val="CommentTextChar"/>
    <w:uiPriority w:val="99"/>
    <w:semiHidden/>
    <w:unhideWhenUsed/>
    <w:rsid w:val="009A51F3"/>
    <w:rPr>
      <w:sz w:val="20"/>
      <w:szCs w:val="20"/>
    </w:rPr>
  </w:style>
  <w:style w:type="character" w:customStyle="1" w:styleId="CommentTextChar">
    <w:name w:val="Comment Text Char"/>
    <w:basedOn w:val="DefaultParagraphFont"/>
    <w:link w:val="CommentText"/>
    <w:uiPriority w:val="99"/>
    <w:semiHidden/>
    <w:rsid w:val="009A51F3"/>
    <w:rPr>
      <w:sz w:val="20"/>
      <w:szCs w:val="20"/>
    </w:rPr>
  </w:style>
  <w:style w:type="paragraph" w:styleId="CommentSubject">
    <w:name w:val="annotation subject"/>
    <w:basedOn w:val="CommentText"/>
    <w:next w:val="CommentText"/>
    <w:link w:val="CommentSubjectChar"/>
    <w:uiPriority w:val="99"/>
    <w:semiHidden/>
    <w:unhideWhenUsed/>
    <w:rsid w:val="009A51F3"/>
    <w:rPr>
      <w:b/>
      <w:bCs/>
    </w:rPr>
  </w:style>
  <w:style w:type="character" w:customStyle="1" w:styleId="CommentSubjectChar">
    <w:name w:val="Comment Subject Char"/>
    <w:basedOn w:val="CommentTextChar"/>
    <w:link w:val="CommentSubject"/>
    <w:uiPriority w:val="99"/>
    <w:semiHidden/>
    <w:rsid w:val="009A51F3"/>
    <w:rPr>
      <w:b/>
      <w:bCs/>
      <w:sz w:val="20"/>
      <w:szCs w:val="20"/>
    </w:rPr>
  </w:style>
  <w:style w:type="paragraph" w:styleId="BalloonText">
    <w:name w:val="Balloon Text"/>
    <w:basedOn w:val="Normal"/>
    <w:link w:val="BalloonTextChar"/>
    <w:uiPriority w:val="99"/>
    <w:semiHidden/>
    <w:unhideWhenUsed/>
    <w:rsid w:val="009A5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F3"/>
    <w:rPr>
      <w:rFonts w:ascii="Segoe UI" w:hAnsi="Segoe UI" w:cs="Segoe UI"/>
      <w:sz w:val="18"/>
      <w:szCs w:val="18"/>
    </w:rPr>
  </w:style>
  <w:style w:type="character" w:customStyle="1" w:styleId="UnresolvedMention1">
    <w:name w:val="Unresolved Mention1"/>
    <w:basedOn w:val="DefaultParagraphFont"/>
    <w:uiPriority w:val="99"/>
    <w:semiHidden/>
    <w:unhideWhenUsed/>
    <w:rsid w:val="00EB30F5"/>
    <w:rPr>
      <w:color w:val="605E5C"/>
      <w:shd w:val="clear" w:color="auto" w:fill="E1DFDD"/>
    </w:rPr>
  </w:style>
  <w:style w:type="character" w:customStyle="1" w:styleId="UnresolvedMention2">
    <w:name w:val="Unresolved Mention2"/>
    <w:basedOn w:val="DefaultParagraphFont"/>
    <w:uiPriority w:val="99"/>
    <w:semiHidden/>
    <w:unhideWhenUsed/>
    <w:rsid w:val="009479F6"/>
    <w:rPr>
      <w:color w:val="605E5C"/>
      <w:shd w:val="clear" w:color="auto" w:fill="E1DFDD"/>
    </w:rPr>
  </w:style>
  <w:style w:type="character" w:styleId="FollowedHyperlink">
    <w:name w:val="FollowedHyperlink"/>
    <w:basedOn w:val="DefaultParagraphFont"/>
    <w:uiPriority w:val="99"/>
    <w:semiHidden/>
    <w:unhideWhenUsed/>
    <w:rsid w:val="009479F6"/>
    <w:rPr>
      <w:color w:val="800080" w:themeColor="followedHyperlink"/>
      <w:u w:val="single"/>
    </w:rPr>
  </w:style>
  <w:style w:type="character" w:styleId="UnresolvedMention">
    <w:name w:val="Unresolved Mention"/>
    <w:basedOn w:val="DefaultParagraphFont"/>
    <w:uiPriority w:val="99"/>
    <w:semiHidden/>
    <w:unhideWhenUsed/>
    <w:rsid w:val="004F0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websites2.htm" TargetMode="External"/><Relationship Id="rId13" Type="http://schemas.openxmlformats.org/officeDocument/2006/relationships/hyperlink" Target="https://www.ada.gov/hrb-cd.htm" TargetMode="External"/><Relationship Id="rId18" Type="http://schemas.openxmlformats.org/officeDocument/2006/relationships/hyperlink" Target="https://www2.ed.gov/about/offices/list/ocr/docs/investigations/more/08152040-b.pdf" TargetMode="External"/><Relationship Id="rId3" Type="http://schemas.openxmlformats.org/officeDocument/2006/relationships/styles" Target="styles.xml"/><Relationship Id="rId21" Type="http://schemas.openxmlformats.org/officeDocument/2006/relationships/hyperlink" Target="https://www.w3.org/TR/WCAG20/" TargetMode="External"/><Relationship Id="rId7" Type="http://schemas.openxmlformats.org/officeDocument/2006/relationships/endnotes" Target="endnotes.xml"/><Relationship Id="rId12" Type="http://schemas.openxmlformats.org/officeDocument/2006/relationships/hyperlink" Target="https://www.ada.gov/peapod_sa.htm" TargetMode="External"/><Relationship Id="rId17" Type="http://schemas.openxmlformats.org/officeDocument/2006/relationships/hyperlink" Target="https://www2.ed.gov/about/overview/budget/budget19/justifications/z-oc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a.gov/briefs/uc_berkley_lof.pdf" TargetMode="External"/><Relationship Id="rId20" Type="http://schemas.openxmlformats.org/officeDocument/2006/relationships/hyperlink" Target="https://www.w3.org/WAI/standards-guidelines/wcag/new-i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a.gov/quiktrip_consent.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a.gov/louisiana-tech.htm" TargetMode="External"/><Relationship Id="rId23" Type="http://schemas.openxmlformats.org/officeDocument/2006/relationships/footer" Target="footer2.xml"/><Relationship Id="rId10" Type="http://schemas.openxmlformats.org/officeDocument/2006/relationships/hyperlink" Target="https://www.ada.gov/fredericksa.htm" TargetMode="External"/><Relationship Id="rId19" Type="http://schemas.openxmlformats.org/officeDocument/2006/relationships/hyperlink" Target="https://www2.ed.gov/about/offices/list/ocr/docs/investigations/more/10171197-b.pdf" TargetMode="External"/><Relationship Id="rId4" Type="http://schemas.openxmlformats.org/officeDocument/2006/relationships/settings" Target="settings.xml"/><Relationship Id="rId9" Type="http://schemas.openxmlformats.org/officeDocument/2006/relationships/hyperlink" Target="https://www.ada.gov/GreenBaySA.htm" TargetMode="External"/><Relationship Id="rId14" Type="http://schemas.openxmlformats.org/officeDocument/2006/relationships/hyperlink" Target="https://www.ada.gov/edx_sa.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0878-895A-4D19-A977-11839889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4875</Words>
  <Characters>27790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Jarret Cummings</cp:lastModifiedBy>
  <cp:revision>4</cp:revision>
  <cp:lastPrinted>1900-01-01T05:00:00Z</cp:lastPrinted>
  <dcterms:created xsi:type="dcterms:W3CDTF">2019-01-18T14:24:00Z</dcterms:created>
  <dcterms:modified xsi:type="dcterms:W3CDTF">2019-01-18T22:15:00Z</dcterms:modified>
</cp:coreProperties>
</file>